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995" w:rsidRPr="00876E0B" w:rsidRDefault="004B0F05" w:rsidP="00876E0B">
      <w:pPr>
        <w:shd w:val="clear" w:color="auto" w:fill="FFFFFF" w:themeFill="background1"/>
        <w:jc w:val="center"/>
        <w:rPr>
          <w:rFonts w:ascii="Times New Roman" w:hAnsi="Times New Roman" w:cs="Times New Roman"/>
          <w:sz w:val="32"/>
          <w:szCs w:val="20"/>
          <w:lang w:eastAsia="fr-FR"/>
        </w:rPr>
      </w:pPr>
      <w:r w:rsidRPr="00876E0B">
        <w:rPr>
          <w:rFonts w:ascii="Times New Roman" w:hAnsi="Times New Roman" w:cs="Times New Roman"/>
          <w:sz w:val="32"/>
          <w:szCs w:val="20"/>
          <w:lang w:eastAsia="fr-FR"/>
        </w:rPr>
        <w:t>Garder la planète habitable</w:t>
      </w:r>
      <w:r w:rsidR="00C718AD" w:rsidRPr="00876E0B">
        <w:rPr>
          <w:rFonts w:ascii="Times New Roman" w:hAnsi="Times New Roman" w:cs="Times New Roman"/>
          <w:sz w:val="32"/>
          <w:szCs w:val="20"/>
          <w:lang w:eastAsia="fr-FR"/>
        </w:rPr>
        <w:t>, répondre aux inquiétudes</w:t>
      </w:r>
    </w:p>
    <w:p w:rsidR="002B584E" w:rsidRPr="00882356" w:rsidRDefault="002B584E" w:rsidP="002B584E">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 xml:space="preserve">Il est désormais admis qu’il faut réduire massivement l’empreinte climatique de l’action humaine sur la planète, pour garder </w:t>
      </w:r>
      <w:r>
        <w:rPr>
          <w:rFonts w:ascii="Times New Roman" w:hAnsi="Times New Roman" w:cs="Times New Roman"/>
          <w:sz w:val="24"/>
          <w:szCs w:val="20"/>
          <w:lang w:eastAsia="fr-FR"/>
        </w:rPr>
        <w:t>notre terre</w:t>
      </w:r>
      <w:r w:rsidRPr="00882356">
        <w:rPr>
          <w:rFonts w:ascii="Times New Roman" w:hAnsi="Times New Roman" w:cs="Times New Roman"/>
          <w:sz w:val="24"/>
          <w:szCs w:val="20"/>
          <w:lang w:eastAsia="fr-FR"/>
        </w:rPr>
        <w:t xml:space="preserve"> habitable en respectant les limites d’absorption naturelle des gaz à effet de serre dont l’humanité est responsable : selon les chercheurs européens du GIEC réunis sous l’appellation Copernicus</w:t>
      </w:r>
      <w:r>
        <w:rPr>
          <w:rStyle w:val="Appelnotedebasdep"/>
          <w:rFonts w:ascii="Times New Roman" w:hAnsi="Times New Roman" w:cs="Times New Roman"/>
          <w:sz w:val="24"/>
          <w:szCs w:val="20"/>
          <w:lang w:eastAsia="fr-FR"/>
        </w:rPr>
        <w:footnoteReference w:id="1"/>
      </w:r>
      <w:r w:rsidRPr="00882356">
        <w:rPr>
          <w:rFonts w:ascii="Times New Roman" w:hAnsi="Times New Roman" w:cs="Times New Roman"/>
          <w:sz w:val="24"/>
          <w:szCs w:val="20"/>
          <w:lang w:eastAsia="fr-FR"/>
        </w:rPr>
        <w:t>, la production anthropique planétaire est désormais</w:t>
      </w:r>
      <w:r>
        <w:rPr>
          <w:rFonts w:ascii="Times New Roman" w:hAnsi="Times New Roman" w:cs="Times New Roman"/>
          <w:sz w:val="24"/>
          <w:szCs w:val="20"/>
          <w:lang w:eastAsia="fr-FR"/>
        </w:rPr>
        <w:t xml:space="preserve"> de</w:t>
      </w:r>
      <w:r w:rsidRPr="00882356">
        <w:rPr>
          <w:rFonts w:ascii="Times New Roman" w:hAnsi="Times New Roman" w:cs="Times New Roman"/>
          <w:sz w:val="24"/>
          <w:szCs w:val="20"/>
          <w:lang w:eastAsia="fr-FR"/>
        </w:rPr>
        <w:t xml:space="preserve"> 5</w:t>
      </w:r>
      <w:r>
        <w:rPr>
          <w:rFonts w:ascii="Times New Roman" w:hAnsi="Times New Roman" w:cs="Times New Roman"/>
          <w:sz w:val="24"/>
          <w:szCs w:val="20"/>
          <w:lang w:eastAsia="fr-FR"/>
        </w:rPr>
        <w:t>7</w:t>
      </w:r>
      <w:r>
        <w:rPr>
          <w:rStyle w:val="Appelnotedebasdep"/>
          <w:rFonts w:ascii="Times New Roman" w:hAnsi="Times New Roman" w:cs="Times New Roman"/>
          <w:sz w:val="24"/>
          <w:szCs w:val="20"/>
          <w:lang w:eastAsia="fr-FR"/>
        </w:rPr>
        <w:footnoteReference w:id="2"/>
      </w:r>
      <w:r w:rsidRPr="00882356">
        <w:rPr>
          <w:rFonts w:ascii="Times New Roman" w:hAnsi="Times New Roman" w:cs="Times New Roman"/>
          <w:sz w:val="24"/>
          <w:szCs w:val="20"/>
          <w:lang w:eastAsia="fr-FR"/>
        </w:rPr>
        <w:t xml:space="preserve"> Gt de CO</w:t>
      </w:r>
      <w:r w:rsidRPr="00B801B4">
        <w:rPr>
          <w:rFonts w:ascii="Times New Roman" w:hAnsi="Times New Roman" w:cs="Times New Roman"/>
          <w:sz w:val="24"/>
          <w:szCs w:val="20"/>
          <w:vertAlign w:val="subscript"/>
          <w:lang w:eastAsia="fr-FR"/>
        </w:rPr>
        <w:t>2</w:t>
      </w:r>
      <w:r w:rsidRPr="00882356">
        <w:rPr>
          <w:rFonts w:ascii="Times New Roman" w:hAnsi="Times New Roman" w:cs="Times New Roman"/>
          <w:sz w:val="24"/>
          <w:szCs w:val="20"/>
          <w:lang w:eastAsia="fr-FR"/>
        </w:rPr>
        <w:t xml:space="preserve"> équivalent </w:t>
      </w:r>
      <w:r>
        <w:rPr>
          <w:rFonts w:ascii="Times New Roman" w:hAnsi="Times New Roman" w:cs="Times New Roman"/>
          <w:sz w:val="24"/>
          <w:szCs w:val="20"/>
          <w:lang w:eastAsia="fr-FR"/>
        </w:rPr>
        <w:t>dont</w:t>
      </w:r>
      <w:r w:rsidRPr="00882356">
        <w:rPr>
          <w:rFonts w:ascii="Times New Roman" w:hAnsi="Times New Roman" w:cs="Times New Roman"/>
          <w:sz w:val="24"/>
          <w:szCs w:val="20"/>
          <w:lang w:eastAsia="fr-FR"/>
        </w:rPr>
        <w:t xml:space="preserve"> 4</w:t>
      </w:r>
      <w:r>
        <w:rPr>
          <w:rFonts w:ascii="Times New Roman" w:hAnsi="Times New Roman" w:cs="Times New Roman"/>
          <w:sz w:val="24"/>
          <w:szCs w:val="20"/>
          <w:lang w:eastAsia="fr-FR"/>
        </w:rPr>
        <w:t>3</w:t>
      </w:r>
      <w:r>
        <w:rPr>
          <w:rStyle w:val="Appelnotedebasdep"/>
          <w:rFonts w:ascii="Times New Roman" w:hAnsi="Times New Roman" w:cs="Times New Roman"/>
          <w:sz w:val="24"/>
          <w:szCs w:val="20"/>
          <w:lang w:eastAsia="fr-FR"/>
        </w:rPr>
        <w:footnoteReference w:id="3"/>
      </w:r>
      <w:r w:rsidRPr="00882356">
        <w:rPr>
          <w:rFonts w:ascii="Times New Roman" w:hAnsi="Times New Roman" w:cs="Times New Roman"/>
          <w:sz w:val="24"/>
          <w:szCs w:val="20"/>
          <w:lang w:eastAsia="fr-FR"/>
        </w:rPr>
        <w:t xml:space="preserve"> Gt de CO</w:t>
      </w:r>
      <w:r w:rsidRPr="00B801B4">
        <w:rPr>
          <w:rFonts w:ascii="Times New Roman" w:hAnsi="Times New Roman" w:cs="Times New Roman"/>
          <w:sz w:val="24"/>
          <w:szCs w:val="20"/>
          <w:vertAlign w:val="subscript"/>
          <w:lang w:eastAsia="fr-FR"/>
        </w:rPr>
        <w:t>2</w:t>
      </w:r>
      <w:r w:rsidRPr="00882356">
        <w:rPr>
          <w:rFonts w:ascii="Times New Roman" w:hAnsi="Times New Roman" w:cs="Times New Roman"/>
          <w:sz w:val="24"/>
          <w:szCs w:val="20"/>
          <w:lang w:eastAsia="fr-FR"/>
        </w:rPr>
        <w:t xml:space="preserve"> seul (les autres gaz étant majoritairement méthane et protoxyde d’azote, évalués en équivalence à 31% de plus que le CO</w:t>
      </w:r>
      <w:r w:rsidRPr="00B801B4">
        <w:rPr>
          <w:rFonts w:ascii="Times New Roman" w:hAnsi="Times New Roman" w:cs="Times New Roman"/>
          <w:sz w:val="24"/>
          <w:szCs w:val="20"/>
          <w:vertAlign w:val="subscript"/>
          <w:lang w:eastAsia="fr-FR"/>
        </w:rPr>
        <w:t>2</w:t>
      </w:r>
      <w:r w:rsidRPr="00882356">
        <w:rPr>
          <w:rFonts w:ascii="Times New Roman" w:hAnsi="Times New Roman" w:cs="Times New Roman"/>
          <w:sz w:val="24"/>
          <w:szCs w:val="20"/>
          <w:lang w:eastAsia="fr-FR"/>
        </w:rPr>
        <w:t xml:space="preserve"> selon leur nocivité et durée d’action). Sur 201</w:t>
      </w:r>
      <w:r>
        <w:rPr>
          <w:rFonts w:ascii="Times New Roman" w:hAnsi="Times New Roman" w:cs="Times New Roman"/>
          <w:sz w:val="24"/>
          <w:szCs w:val="20"/>
          <w:lang w:eastAsia="fr-FR"/>
        </w:rPr>
        <w:t>3</w:t>
      </w:r>
      <w:r w:rsidRPr="00882356">
        <w:rPr>
          <w:rFonts w:ascii="Times New Roman" w:hAnsi="Times New Roman" w:cs="Times New Roman"/>
          <w:sz w:val="24"/>
          <w:szCs w:val="20"/>
          <w:lang w:eastAsia="fr-FR"/>
        </w:rPr>
        <w:t>-202</w:t>
      </w:r>
      <w:r>
        <w:rPr>
          <w:rFonts w:ascii="Times New Roman" w:hAnsi="Times New Roman" w:cs="Times New Roman"/>
          <w:sz w:val="24"/>
          <w:szCs w:val="20"/>
          <w:lang w:eastAsia="fr-FR"/>
        </w:rPr>
        <w:t xml:space="preserve">2 </w:t>
      </w:r>
      <w:r w:rsidRPr="00882356">
        <w:rPr>
          <w:rFonts w:ascii="Times New Roman" w:hAnsi="Times New Roman" w:cs="Times New Roman"/>
          <w:sz w:val="24"/>
          <w:szCs w:val="20"/>
          <w:lang w:eastAsia="fr-FR"/>
        </w:rPr>
        <w:t>l’absorption naturelle est 1</w:t>
      </w:r>
      <w:r>
        <w:rPr>
          <w:rFonts w:ascii="Times New Roman" w:hAnsi="Times New Roman" w:cs="Times New Roman"/>
          <w:sz w:val="24"/>
          <w:szCs w:val="20"/>
          <w:lang w:eastAsia="fr-FR"/>
        </w:rPr>
        <w:t>1</w:t>
      </w:r>
      <w:r w:rsidRPr="00882356">
        <w:rPr>
          <w:rFonts w:ascii="Times New Roman" w:hAnsi="Times New Roman" w:cs="Times New Roman"/>
          <w:sz w:val="24"/>
          <w:szCs w:val="20"/>
          <w:lang w:eastAsia="fr-FR"/>
        </w:rPr>
        <w:t xml:space="preserve"> Gt</w:t>
      </w:r>
      <w:r>
        <w:rPr>
          <w:rFonts w:ascii="Times New Roman" w:hAnsi="Times New Roman" w:cs="Times New Roman"/>
          <w:sz w:val="24"/>
          <w:szCs w:val="20"/>
          <w:lang w:eastAsia="fr-FR"/>
        </w:rPr>
        <w:t>/an</w:t>
      </w:r>
      <w:r w:rsidRPr="00882356">
        <w:rPr>
          <w:rFonts w:ascii="Times New Roman" w:hAnsi="Times New Roman" w:cs="Times New Roman"/>
          <w:sz w:val="24"/>
          <w:szCs w:val="20"/>
          <w:lang w:eastAsia="fr-FR"/>
        </w:rPr>
        <w:t xml:space="preserve"> par végétaux et forêts et 10 Gt par les océans</w:t>
      </w:r>
      <w:r>
        <w:rPr>
          <w:rFonts w:ascii="Times New Roman" w:hAnsi="Times New Roman" w:cs="Times New Roman"/>
          <w:sz w:val="24"/>
          <w:szCs w:val="20"/>
          <w:lang w:eastAsia="fr-FR"/>
        </w:rPr>
        <w:t xml:space="preserve"> (selon Global Carbon Project</w:t>
      </w:r>
      <w:r>
        <w:rPr>
          <w:rStyle w:val="Appelnotedebasdep"/>
          <w:rFonts w:ascii="Times New Roman" w:hAnsi="Times New Roman" w:cs="Times New Roman"/>
          <w:sz w:val="24"/>
          <w:szCs w:val="20"/>
          <w:lang w:eastAsia="fr-FR"/>
        </w:rPr>
        <w:footnoteReference w:id="4"/>
      </w:r>
      <w:r>
        <w:rPr>
          <w:rFonts w:ascii="Times New Roman" w:hAnsi="Times New Roman" w:cs="Times New Roman"/>
          <w:sz w:val="24"/>
          <w:szCs w:val="20"/>
          <w:lang w:eastAsia="fr-FR"/>
        </w:rPr>
        <w:t>)</w:t>
      </w:r>
      <w:r w:rsidRPr="00882356">
        <w:rPr>
          <w:rFonts w:ascii="Times New Roman" w:hAnsi="Times New Roman" w:cs="Times New Roman"/>
          <w:sz w:val="24"/>
          <w:szCs w:val="20"/>
          <w:lang w:eastAsia="fr-FR"/>
        </w:rPr>
        <w:t xml:space="preserve">, mais ces 21 Gt diminueraient à 16-18 Gt en 2050. Si nous sommes alors 8-9 milliards, il faudra pour atteindre l’équilibre </w:t>
      </w:r>
      <w:r>
        <w:rPr>
          <w:rFonts w:ascii="Times New Roman" w:hAnsi="Times New Roman" w:cs="Times New Roman"/>
          <w:sz w:val="24"/>
          <w:szCs w:val="20"/>
          <w:lang w:eastAsia="fr-FR"/>
        </w:rPr>
        <w:t>(dé</w:t>
      </w:r>
      <w:r w:rsidRPr="00882356">
        <w:rPr>
          <w:rFonts w:ascii="Times New Roman" w:hAnsi="Times New Roman" w:cs="Times New Roman"/>
          <w:sz w:val="24"/>
          <w:szCs w:val="20"/>
          <w:lang w:eastAsia="fr-FR"/>
        </w:rPr>
        <w:t>montré comme nécessaire par le GIEC</w:t>
      </w:r>
      <w:r>
        <w:rPr>
          <w:rFonts w:ascii="Times New Roman" w:hAnsi="Times New Roman" w:cs="Times New Roman"/>
          <w:sz w:val="24"/>
          <w:szCs w:val="20"/>
          <w:lang w:eastAsia="fr-FR"/>
        </w:rPr>
        <w:t>)</w:t>
      </w:r>
      <w:r w:rsidRPr="00882356">
        <w:rPr>
          <w:rFonts w:ascii="Times New Roman" w:hAnsi="Times New Roman" w:cs="Times New Roman"/>
          <w:sz w:val="24"/>
          <w:szCs w:val="20"/>
          <w:lang w:eastAsia="fr-FR"/>
        </w:rPr>
        <w:t xml:space="preserve">, avoir réduit notre empreinte à 2t/p/an contre 6.75 aujourd’hui au niveau mondial. </w:t>
      </w:r>
      <w:r>
        <w:rPr>
          <w:rFonts w:ascii="Times New Roman" w:hAnsi="Times New Roman" w:cs="Times New Roman"/>
          <w:sz w:val="24"/>
          <w:szCs w:val="20"/>
          <w:lang w:eastAsia="fr-FR"/>
        </w:rPr>
        <w:t>Les</w:t>
      </w:r>
      <w:r w:rsidRPr="00882356">
        <w:rPr>
          <w:rFonts w:ascii="Times New Roman" w:hAnsi="Times New Roman" w:cs="Times New Roman"/>
          <w:sz w:val="24"/>
          <w:szCs w:val="20"/>
          <w:lang w:eastAsia="fr-FR"/>
        </w:rPr>
        <w:t xml:space="preserve"> pays</w:t>
      </w:r>
      <w:r>
        <w:rPr>
          <w:rFonts w:ascii="Times New Roman" w:hAnsi="Times New Roman" w:cs="Times New Roman"/>
          <w:sz w:val="24"/>
          <w:szCs w:val="20"/>
          <w:lang w:eastAsia="fr-FR"/>
        </w:rPr>
        <w:t>,</w:t>
      </w:r>
      <w:r w:rsidRPr="00882356">
        <w:rPr>
          <w:rFonts w:ascii="Times New Roman" w:hAnsi="Times New Roman" w:cs="Times New Roman"/>
          <w:sz w:val="24"/>
          <w:szCs w:val="20"/>
          <w:lang w:eastAsia="fr-FR"/>
        </w:rPr>
        <w:t xml:space="preserve"> soumis au comptage depuis l’Accord de Paris</w:t>
      </w:r>
      <w:r>
        <w:rPr>
          <w:rFonts w:ascii="Times New Roman" w:hAnsi="Times New Roman" w:cs="Times New Roman"/>
          <w:sz w:val="24"/>
          <w:szCs w:val="20"/>
          <w:lang w:eastAsia="fr-FR"/>
        </w:rPr>
        <w:t>,</w:t>
      </w:r>
      <w:r w:rsidRPr="00882356">
        <w:rPr>
          <w:rFonts w:ascii="Times New Roman" w:hAnsi="Times New Roman" w:cs="Times New Roman"/>
          <w:sz w:val="24"/>
          <w:szCs w:val="20"/>
          <w:lang w:eastAsia="fr-FR"/>
        </w:rPr>
        <w:t xml:space="preserve"> montre</w:t>
      </w:r>
      <w:r>
        <w:rPr>
          <w:rFonts w:ascii="Times New Roman" w:hAnsi="Times New Roman" w:cs="Times New Roman"/>
          <w:sz w:val="24"/>
          <w:szCs w:val="20"/>
          <w:lang w:eastAsia="fr-FR"/>
        </w:rPr>
        <w:t>nt</w:t>
      </w:r>
      <w:r w:rsidRPr="00882356">
        <w:rPr>
          <w:rFonts w:ascii="Times New Roman" w:hAnsi="Times New Roman" w:cs="Times New Roman"/>
          <w:sz w:val="24"/>
          <w:szCs w:val="20"/>
          <w:lang w:eastAsia="fr-FR"/>
        </w:rPr>
        <w:t xml:space="preserve"> de grandes différences : la France affiche 9t/p/an (le rapport 202</w:t>
      </w:r>
      <w:r>
        <w:rPr>
          <w:rFonts w:ascii="Times New Roman" w:hAnsi="Times New Roman" w:cs="Times New Roman"/>
          <w:sz w:val="24"/>
          <w:szCs w:val="20"/>
          <w:lang w:eastAsia="fr-FR"/>
        </w:rPr>
        <w:t>4</w:t>
      </w:r>
      <w:r w:rsidRPr="00882356">
        <w:rPr>
          <w:rFonts w:ascii="Times New Roman" w:hAnsi="Times New Roman" w:cs="Times New Roman"/>
          <w:sz w:val="24"/>
          <w:szCs w:val="20"/>
          <w:lang w:eastAsia="fr-FR"/>
        </w:rPr>
        <w:t xml:space="preserve"> du Haut conseil pour le climat</w:t>
      </w:r>
      <w:r>
        <w:rPr>
          <w:rStyle w:val="Appelnotedebasdep"/>
          <w:rFonts w:ascii="Times New Roman" w:hAnsi="Times New Roman" w:cs="Times New Roman"/>
          <w:sz w:val="24"/>
          <w:szCs w:val="20"/>
          <w:lang w:eastAsia="fr-FR"/>
        </w:rPr>
        <w:footnoteReference w:id="5"/>
      </w:r>
      <w:r w:rsidRPr="00882356">
        <w:rPr>
          <w:rFonts w:ascii="Times New Roman" w:hAnsi="Times New Roman" w:cs="Times New Roman"/>
          <w:sz w:val="24"/>
          <w:szCs w:val="20"/>
          <w:lang w:eastAsia="fr-FR"/>
        </w:rPr>
        <w:t xml:space="preserve"> a évalué à 6</w:t>
      </w:r>
      <w:r>
        <w:rPr>
          <w:rFonts w:ascii="Times New Roman" w:hAnsi="Times New Roman" w:cs="Times New Roman"/>
          <w:sz w:val="24"/>
          <w:szCs w:val="20"/>
          <w:lang w:eastAsia="fr-FR"/>
        </w:rPr>
        <w:t>23</w:t>
      </w:r>
      <w:r w:rsidRPr="00882356">
        <w:rPr>
          <w:rFonts w:ascii="Times New Roman" w:hAnsi="Times New Roman" w:cs="Times New Roman"/>
          <w:sz w:val="24"/>
          <w:szCs w:val="20"/>
          <w:lang w:eastAsia="fr-FR"/>
        </w:rPr>
        <w:t xml:space="preserve"> Mt l’empreinte française en CO</w:t>
      </w:r>
      <w:r w:rsidRPr="00B801B4">
        <w:rPr>
          <w:rFonts w:ascii="Times New Roman" w:hAnsi="Times New Roman" w:cs="Times New Roman"/>
          <w:sz w:val="24"/>
          <w:szCs w:val="20"/>
          <w:vertAlign w:val="subscript"/>
          <w:lang w:eastAsia="fr-FR"/>
        </w:rPr>
        <w:t>2</w:t>
      </w:r>
      <w:r w:rsidRPr="00882356">
        <w:rPr>
          <w:rFonts w:ascii="Times New Roman" w:hAnsi="Times New Roman" w:cs="Times New Roman"/>
          <w:sz w:val="24"/>
          <w:szCs w:val="20"/>
          <w:lang w:eastAsia="fr-FR"/>
        </w:rPr>
        <w:t>e avec une responsabilité domestique évaluée par le CITEPA à 420 Mt, la différence est liée aux importations de biens et services), mais l’Allemagne est à 12t, le Canada à 18, les États-Unis à 20 et la Roumanie à 6 t/p/an…</w:t>
      </w:r>
    </w:p>
    <w:p w:rsidR="002B584E" w:rsidRDefault="002B584E" w:rsidP="002B584E">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Le GIEC rappelle que la planète ne sera plus habitable si nous n’avons pas réduit l’empreinte à 2t en 2050. Il nous faut passer de 9 à 2, les américains de 20 à 2, les chinois de 6 à 2, les africains de 3 à 2.</w:t>
      </w:r>
    </w:p>
    <w:p w:rsidR="00364B95" w:rsidRPr="00882356" w:rsidRDefault="00882356" w:rsidP="00882356">
      <w:pPr>
        <w:shd w:val="clear" w:color="auto" w:fill="FFFFFF" w:themeFill="background1"/>
        <w:rPr>
          <w:rFonts w:ascii="Times New Roman" w:hAnsi="Times New Roman" w:cs="Times New Roman"/>
          <w:b/>
          <w:sz w:val="24"/>
          <w:szCs w:val="20"/>
          <w:lang w:eastAsia="fr-FR"/>
        </w:rPr>
      </w:pPr>
      <w:r w:rsidRPr="00882356">
        <w:rPr>
          <w:rFonts w:ascii="Times New Roman" w:hAnsi="Times New Roman" w:cs="Times New Roman"/>
          <w:b/>
          <w:sz w:val="24"/>
          <w:szCs w:val="20"/>
          <w:lang w:eastAsia="fr-FR"/>
        </w:rPr>
        <w:t>Comment réduire ?</w:t>
      </w:r>
    </w:p>
    <w:p w:rsidR="00364B95" w:rsidRPr="00882356" w:rsidRDefault="00364B95"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 xml:space="preserve">Il nous faut donc un rationnement sous différentes formes mais sans prononcer </w:t>
      </w:r>
      <w:r w:rsidR="002F1C11" w:rsidRPr="00882356">
        <w:rPr>
          <w:rFonts w:ascii="Times New Roman" w:hAnsi="Times New Roman" w:cs="Times New Roman"/>
          <w:sz w:val="24"/>
          <w:szCs w:val="20"/>
          <w:lang w:eastAsia="fr-FR"/>
        </w:rPr>
        <w:t xml:space="preserve">le mot </w:t>
      </w:r>
      <w:r w:rsidR="00167E67" w:rsidRPr="00882356">
        <w:rPr>
          <w:rFonts w:ascii="Times New Roman" w:hAnsi="Times New Roman" w:cs="Times New Roman"/>
          <w:sz w:val="24"/>
          <w:szCs w:val="20"/>
          <w:lang w:eastAsia="fr-FR"/>
        </w:rPr>
        <w:t xml:space="preserve">rationnement qui a tant déplu et fait peur après la seconde guerre mondiale. Mais comment réduire ? </w:t>
      </w:r>
      <w:r w:rsidR="00E40691">
        <w:rPr>
          <w:rFonts w:ascii="Times New Roman" w:hAnsi="Times New Roman" w:cs="Times New Roman"/>
          <w:sz w:val="24"/>
          <w:szCs w:val="20"/>
          <w:lang w:eastAsia="fr-FR"/>
        </w:rPr>
        <w:t>C</w:t>
      </w:r>
      <w:r w:rsidR="00167E67" w:rsidRPr="00882356">
        <w:rPr>
          <w:rFonts w:ascii="Times New Roman" w:hAnsi="Times New Roman" w:cs="Times New Roman"/>
          <w:sz w:val="24"/>
          <w:szCs w:val="20"/>
          <w:lang w:eastAsia="fr-FR"/>
        </w:rPr>
        <w:t xml:space="preserve">ompter sur le mécanisme européen de quotas industriels qui ouvre toutes les manœuvres dont la fameuse fraude à la TVA qui a couté 6 milliards d’euros aux États Membres </w:t>
      </w:r>
      <w:r w:rsidR="00056A06">
        <w:rPr>
          <w:rFonts w:ascii="Times New Roman" w:hAnsi="Times New Roman" w:cs="Times New Roman"/>
          <w:sz w:val="24"/>
          <w:szCs w:val="20"/>
          <w:lang w:eastAsia="fr-FR"/>
        </w:rPr>
        <w:t xml:space="preserve">(1,6 à la France) </w:t>
      </w:r>
      <w:r w:rsidR="00167E67" w:rsidRPr="00882356">
        <w:rPr>
          <w:rFonts w:ascii="Times New Roman" w:hAnsi="Times New Roman" w:cs="Times New Roman"/>
          <w:sz w:val="24"/>
          <w:szCs w:val="20"/>
          <w:lang w:eastAsia="fr-FR"/>
        </w:rPr>
        <w:t xml:space="preserve">et dont le surcout est supporté par les consommateurs de façon anti-sociale ? Compter sur la taxe carbone </w:t>
      </w:r>
      <w:r w:rsidR="00876E0B" w:rsidRPr="00882356">
        <w:rPr>
          <w:rFonts w:ascii="Times New Roman" w:hAnsi="Times New Roman" w:cs="Times New Roman"/>
          <w:sz w:val="24"/>
          <w:szCs w:val="20"/>
          <w:lang w:eastAsia="fr-FR"/>
        </w:rPr>
        <w:t>prônée</w:t>
      </w:r>
      <w:r w:rsidR="00167E67" w:rsidRPr="00882356">
        <w:rPr>
          <w:rFonts w:ascii="Times New Roman" w:hAnsi="Times New Roman" w:cs="Times New Roman"/>
          <w:sz w:val="24"/>
          <w:szCs w:val="20"/>
          <w:lang w:eastAsia="fr-FR"/>
        </w:rPr>
        <w:t xml:space="preserve"> par Jean Tirole et les économistes néo-libéraux</w:t>
      </w:r>
      <w:r w:rsidR="005108B3">
        <w:rPr>
          <w:rFonts w:ascii="Times New Roman" w:hAnsi="Times New Roman" w:cs="Times New Roman"/>
          <w:sz w:val="24"/>
          <w:szCs w:val="20"/>
          <w:lang w:eastAsia="fr-FR"/>
        </w:rPr>
        <w:t> ? M</w:t>
      </w:r>
      <w:r w:rsidR="00167E67" w:rsidRPr="00882356">
        <w:rPr>
          <w:rFonts w:ascii="Times New Roman" w:hAnsi="Times New Roman" w:cs="Times New Roman"/>
          <w:sz w:val="24"/>
          <w:szCs w:val="20"/>
          <w:lang w:eastAsia="fr-FR"/>
        </w:rPr>
        <w:t>ais son inefficacité a été démontrée en Suède où elle fonctionne depuis 30 ans sans réduction de l’empreinte carbone (car elle n’est qu</w:t>
      </w:r>
      <w:r w:rsidR="00876E0B">
        <w:rPr>
          <w:rFonts w:ascii="Times New Roman" w:hAnsi="Times New Roman" w:cs="Times New Roman"/>
          <w:sz w:val="24"/>
          <w:szCs w:val="20"/>
          <w:lang w:eastAsia="fr-FR"/>
        </w:rPr>
        <w:t>’</w:t>
      </w:r>
      <w:r w:rsidR="00167E67" w:rsidRPr="00882356">
        <w:rPr>
          <w:rFonts w:ascii="Times New Roman" w:hAnsi="Times New Roman" w:cs="Times New Roman"/>
          <w:sz w:val="24"/>
          <w:szCs w:val="20"/>
          <w:lang w:eastAsia="fr-FR"/>
        </w:rPr>
        <w:t xml:space="preserve">incitative, sans </w:t>
      </w:r>
      <w:r w:rsidR="005108B3">
        <w:rPr>
          <w:rFonts w:ascii="Times New Roman" w:hAnsi="Times New Roman" w:cs="Times New Roman"/>
          <w:sz w:val="24"/>
          <w:szCs w:val="20"/>
          <w:lang w:eastAsia="fr-FR"/>
        </w:rPr>
        <w:t>ap</w:t>
      </w:r>
      <w:r w:rsidR="00167E67" w:rsidRPr="00882356">
        <w:rPr>
          <w:rFonts w:ascii="Times New Roman" w:hAnsi="Times New Roman" w:cs="Times New Roman"/>
          <w:sz w:val="24"/>
          <w:szCs w:val="20"/>
          <w:lang w:eastAsia="fr-FR"/>
        </w:rPr>
        <w:t>porter</w:t>
      </w:r>
      <w:r w:rsidR="005108B3">
        <w:rPr>
          <w:rFonts w:ascii="Times New Roman" w:hAnsi="Times New Roman" w:cs="Times New Roman"/>
          <w:sz w:val="24"/>
          <w:szCs w:val="20"/>
          <w:lang w:eastAsia="fr-FR"/>
        </w:rPr>
        <w:t xml:space="preserve"> de</w:t>
      </w:r>
      <w:r w:rsidR="00167E67" w:rsidRPr="00882356">
        <w:rPr>
          <w:rFonts w:ascii="Times New Roman" w:hAnsi="Times New Roman" w:cs="Times New Roman"/>
          <w:sz w:val="24"/>
          <w:szCs w:val="20"/>
          <w:lang w:eastAsia="fr-FR"/>
        </w:rPr>
        <w:t xml:space="preserve"> réel résultat) ? Compter sur l’investissement massif évalué à plusieurs centaines de milliards par an, mais toujours sans garantie de résultat ?</w:t>
      </w:r>
    </w:p>
    <w:p w:rsidR="00167E67" w:rsidRPr="00882356" w:rsidRDefault="00167E67"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Les assises du climat de février à avril 2021 ont mis toutes ces hypothèses en évaluation et débat, en faisant intervenir les partisans de chaque voie : il en est sorti cinq critères d’efficacité qui ont alors révélé le compte carbone comme meilleur mécanisme :</w:t>
      </w:r>
    </w:p>
    <w:p w:rsidR="00882356" w:rsidRP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 xml:space="preserve">1- compter tous les de gaz à effet de serre, qu’ils soient produits localement ou importés, </w:t>
      </w:r>
    </w:p>
    <w:p w:rsidR="00882356" w:rsidRP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lastRenderedPageBreak/>
        <w:t xml:space="preserve">2- garantir la réduction annuelle de au moins 6% en France vers l’équilibre climatique 2050, démontré comme nécessaire par le GIEC (pourcentages différents selon les pays), </w:t>
      </w:r>
    </w:p>
    <w:p w:rsidR="00882356" w:rsidRP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 xml:space="preserve">3- contribuer à la justice sociale, </w:t>
      </w:r>
    </w:p>
    <w:p w:rsidR="00882356" w:rsidRP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4- impliquer tous les acteurs dont les services publics et les entreprises,</w:t>
      </w:r>
    </w:p>
    <w:p w:rsidR="00882356" w:rsidRP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5- privilégier les voies de moindre contrainte garantissant liberté et acceptabilité.</w:t>
      </w:r>
    </w:p>
    <w:p w:rsidR="00167E67" w:rsidRPr="00882356" w:rsidRDefault="00167E67" w:rsidP="00882356">
      <w:pPr>
        <w:shd w:val="clear" w:color="auto" w:fill="FFFFFF" w:themeFill="background1"/>
        <w:rPr>
          <w:rFonts w:ascii="Times New Roman" w:hAnsi="Times New Roman" w:cs="Times New Roman"/>
          <w:b/>
          <w:sz w:val="24"/>
          <w:szCs w:val="20"/>
          <w:lang w:eastAsia="fr-FR"/>
        </w:rPr>
      </w:pPr>
    </w:p>
    <w:p w:rsidR="00882356" w:rsidRPr="00882356" w:rsidRDefault="00882356" w:rsidP="00882356">
      <w:pPr>
        <w:shd w:val="clear" w:color="auto" w:fill="FFFFFF" w:themeFill="background1"/>
        <w:rPr>
          <w:rFonts w:ascii="Times New Roman" w:hAnsi="Times New Roman" w:cs="Times New Roman"/>
          <w:b/>
          <w:sz w:val="24"/>
          <w:szCs w:val="20"/>
          <w:lang w:eastAsia="fr-FR"/>
        </w:rPr>
      </w:pPr>
      <w:r w:rsidRPr="00882356">
        <w:rPr>
          <w:rFonts w:ascii="Times New Roman" w:hAnsi="Times New Roman" w:cs="Times New Roman"/>
          <w:b/>
          <w:sz w:val="24"/>
          <w:szCs w:val="20"/>
          <w:lang w:eastAsia="fr-FR"/>
        </w:rPr>
        <w:t>Qu’appelle-t-on Compte Carbone ?</w:t>
      </w:r>
    </w:p>
    <w:p w:rsidR="00882356" w:rsidRDefault="00882356" w:rsidP="00882356">
      <w:pPr>
        <w:shd w:val="clear" w:color="auto" w:fill="FFFFFF" w:themeFill="background1"/>
        <w:rPr>
          <w:rFonts w:ascii="Times New Roman" w:hAnsi="Times New Roman" w:cs="Times New Roman"/>
          <w:sz w:val="24"/>
          <w:szCs w:val="20"/>
          <w:lang w:eastAsia="fr-FR"/>
        </w:rPr>
      </w:pPr>
      <w:r w:rsidRPr="00882356">
        <w:rPr>
          <w:rFonts w:ascii="Times New Roman" w:hAnsi="Times New Roman" w:cs="Times New Roman"/>
          <w:sz w:val="24"/>
          <w:szCs w:val="20"/>
          <w:lang w:eastAsia="fr-FR"/>
        </w:rPr>
        <w:t xml:space="preserve">Ce mécanisme est porté par 25 partenaires et soutiens de l’alliance du compte carbone. Il repose sur deux pieds : </w:t>
      </w:r>
      <w:r>
        <w:rPr>
          <w:rFonts w:ascii="Times New Roman" w:hAnsi="Times New Roman" w:cs="Times New Roman"/>
          <w:sz w:val="24"/>
          <w:szCs w:val="20"/>
          <w:lang w:eastAsia="fr-FR"/>
        </w:rPr>
        <w:t>les alliés du compte carbone proposent de doter chaque français de 9000 points carbone pour l’année (la moyenne française de 9000 kg CO</w:t>
      </w:r>
      <w:r w:rsidR="00B801B4" w:rsidRPr="00B801B4">
        <w:rPr>
          <w:rFonts w:ascii="Times New Roman" w:hAnsi="Times New Roman" w:cs="Times New Roman"/>
          <w:sz w:val="24"/>
          <w:szCs w:val="20"/>
          <w:vertAlign w:val="subscript"/>
          <w:lang w:eastAsia="fr-FR"/>
        </w:rPr>
        <w:t>2</w:t>
      </w:r>
      <w:r>
        <w:rPr>
          <w:rFonts w:ascii="Times New Roman" w:hAnsi="Times New Roman" w:cs="Times New Roman"/>
          <w:sz w:val="24"/>
          <w:szCs w:val="20"/>
          <w:lang w:eastAsia="fr-FR"/>
        </w:rPr>
        <w:t xml:space="preserve">e) pour « payer » </w:t>
      </w:r>
      <w:proofErr w:type="gramStart"/>
      <w:r>
        <w:rPr>
          <w:rFonts w:ascii="Times New Roman" w:hAnsi="Times New Roman" w:cs="Times New Roman"/>
          <w:sz w:val="24"/>
          <w:szCs w:val="20"/>
          <w:lang w:eastAsia="fr-FR"/>
        </w:rPr>
        <w:t>les contenus carbone</w:t>
      </w:r>
      <w:proofErr w:type="gramEnd"/>
      <w:r>
        <w:rPr>
          <w:rFonts w:ascii="Times New Roman" w:hAnsi="Times New Roman" w:cs="Times New Roman"/>
          <w:sz w:val="24"/>
          <w:szCs w:val="20"/>
          <w:lang w:eastAsia="fr-FR"/>
        </w:rPr>
        <w:t xml:space="preserve"> de tous</w:t>
      </w:r>
      <w:r w:rsidR="00B474AC">
        <w:rPr>
          <w:rFonts w:ascii="Times New Roman" w:hAnsi="Times New Roman" w:cs="Times New Roman"/>
          <w:sz w:val="24"/>
          <w:szCs w:val="20"/>
          <w:lang w:eastAsia="fr-FR"/>
        </w:rPr>
        <w:t xml:space="preserve"> leurs</w:t>
      </w:r>
      <w:r>
        <w:rPr>
          <w:rFonts w:ascii="Times New Roman" w:hAnsi="Times New Roman" w:cs="Times New Roman"/>
          <w:sz w:val="24"/>
          <w:szCs w:val="20"/>
          <w:lang w:eastAsia="fr-FR"/>
        </w:rPr>
        <w:t xml:space="preserve"> achats de produits et services. Cette dotation est à renouveler chaque année avec 6% de moins pour atteindre 2t en 2050.</w:t>
      </w:r>
    </w:p>
    <w:p w:rsidR="00882356" w:rsidRPr="00CB510B" w:rsidRDefault="00882356" w:rsidP="00882356">
      <w:pPr>
        <w:shd w:val="clear" w:color="auto" w:fill="FFFFFF" w:themeFill="background1"/>
        <w:rPr>
          <w:rFonts w:ascii="Times New Roman" w:hAnsi="Times New Roman" w:cs="Times New Roman"/>
          <w:b/>
          <w:sz w:val="24"/>
          <w:szCs w:val="20"/>
          <w:lang w:eastAsia="fr-FR"/>
        </w:rPr>
      </w:pPr>
      <w:r>
        <w:rPr>
          <w:rFonts w:ascii="Times New Roman" w:hAnsi="Times New Roman" w:cs="Times New Roman"/>
          <w:sz w:val="24"/>
          <w:szCs w:val="20"/>
          <w:lang w:eastAsia="fr-FR"/>
        </w:rPr>
        <w:t xml:space="preserve">Simultanément l’étiquetage carbone </w:t>
      </w:r>
      <w:r w:rsidR="00393125">
        <w:rPr>
          <w:rFonts w:ascii="Times New Roman" w:hAnsi="Times New Roman" w:cs="Times New Roman"/>
          <w:sz w:val="24"/>
          <w:szCs w:val="20"/>
          <w:lang w:eastAsia="fr-FR"/>
        </w:rPr>
        <w:t>est l’autre pied</w:t>
      </w:r>
      <w:r w:rsidR="005C3F73">
        <w:rPr>
          <w:rFonts w:ascii="Times New Roman" w:hAnsi="Times New Roman" w:cs="Times New Roman"/>
          <w:sz w:val="24"/>
          <w:szCs w:val="20"/>
          <w:lang w:eastAsia="fr-FR"/>
        </w:rPr>
        <w:t>,</w:t>
      </w:r>
      <w:r w:rsidR="00393125">
        <w:rPr>
          <w:rFonts w:ascii="Times New Roman" w:hAnsi="Times New Roman" w:cs="Times New Roman"/>
          <w:sz w:val="24"/>
          <w:szCs w:val="20"/>
          <w:lang w:eastAsia="fr-FR"/>
        </w:rPr>
        <w:t xml:space="preserve"> imposant</w:t>
      </w:r>
      <w:r>
        <w:rPr>
          <w:rFonts w:ascii="Times New Roman" w:hAnsi="Times New Roman" w:cs="Times New Roman"/>
          <w:sz w:val="24"/>
          <w:szCs w:val="20"/>
          <w:lang w:eastAsia="fr-FR"/>
        </w:rPr>
        <w:t xml:space="preserve"> la tenue par chaque entreprise d’un registre carbone (une compta simplifiée) qui permet de facturer tous produits et services avec leurs contenus carbone à partir des factures des fournisseurs.</w:t>
      </w:r>
      <w:r w:rsidR="00DF6191">
        <w:rPr>
          <w:rFonts w:ascii="Times New Roman" w:hAnsi="Times New Roman" w:cs="Times New Roman"/>
          <w:sz w:val="24"/>
          <w:szCs w:val="20"/>
          <w:lang w:eastAsia="fr-FR"/>
        </w:rPr>
        <w:t xml:space="preserve"> C’est justement cet étiquetage généralisé qui redonne le pouvoir aux consommateurs et oblige les entreprises à décarboner si elles veulent garder des clients.</w:t>
      </w:r>
    </w:p>
    <w:p w:rsidR="00DF6191" w:rsidRPr="00CB510B" w:rsidRDefault="00DF6191" w:rsidP="00882356">
      <w:pPr>
        <w:shd w:val="clear" w:color="auto" w:fill="FFFFFF" w:themeFill="background1"/>
        <w:rPr>
          <w:rFonts w:ascii="Times New Roman" w:hAnsi="Times New Roman" w:cs="Times New Roman"/>
          <w:b/>
          <w:sz w:val="24"/>
          <w:szCs w:val="20"/>
          <w:lang w:eastAsia="fr-FR"/>
        </w:rPr>
      </w:pPr>
      <w:r w:rsidRPr="00CB510B">
        <w:rPr>
          <w:rFonts w:ascii="Times New Roman" w:hAnsi="Times New Roman" w:cs="Times New Roman"/>
          <w:b/>
          <w:sz w:val="24"/>
          <w:szCs w:val="20"/>
          <w:lang w:eastAsia="fr-FR"/>
        </w:rPr>
        <w:t>Une seconde monnaie pour déstabiliser l’argent ?</w:t>
      </w:r>
    </w:p>
    <w:p w:rsidR="00BC36B5" w:rsidRDefault="00DF6191"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Des études de prospective ont démarré pour comprendre si l’addiction monomaniaque des sociétés du monde</w:t>
      </w:r>
      <w:r w:rsidR="00CB510B">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à l’argent et son accumulation</w:t>
      </w:r>
      <w:r w:rsidR="0023633B">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pourrait être stoppée ou limitée par l’apparition d’une nouvelle monnaie dont l’effet est vital en matière d’habitabilité de la planète. La monnaie a été inventée au Moyen Orient </w:t>
      </w:r>
      <w:r w:rsidR="00056A06">
        <w:rPr>
          <w:rFonts w:ascii="Times New Roman" w:hAnsi="Times New Roman" w:cs="Times New Roman"/>
          <w:sz w:val="24"/>
          <w:szCs w:val="20"/>
          <w:lang w:eastAsia="fr-FR"/>
        </w:rPr>
        <w:t>et</w:t>
      </w:r>
      <w:r>
        <w:rPr>
          <w:rFonts w:ascii="Times New Roman" w:hAnsi="Times New Roman" w:cs="Times New Roman"/>
          <w:sz w:val="24"/>
          <w:szCs w:val="20"/>
          <w:lang w:eastAsia="fr-FR"/>
        </w:rPr>
        <w:t xml:space="preserve"> en Chine pour fluidifier les échanges et ce que l’on appelle le commerce ou relation entre les gens. Il y en aura toujours besoin comme mode d’échange, mais son accumulation pourrait être abandonnée comme le recommandait déjà Saint-Augustin. Le livre</w:t>
      </w:r>
      <w:r w:rsidR="009B49BB">
        <w:rPr>
          <w:rStyle w:val="Appelnotedebasdep"/>
          <w:rFonts w:ascii="Times New Roman" w:hAnsi="Times New Roman" w:cs="Times New Roman"/>
          <w:sz w:val="24"/>
          <w:szCs w:val="20"/>
          <w:lang w:eastAsia="fr-FR"/>
        </w:rPr>
        <w:footnoteReference w:id="6"/>
      </w:r>
      <w:r>
        <w:rPr>
          <w:rFonts w:ascii="Times New Roman" w:hAnsi="Times New Roman" w:cs="Times New Roman"/>
          <w:sz w:val="24"/>
          <w:szCs w:val="20"/>
          <w:lang w:eastAsia="fr-FR"/>
        </w:rPr>
        <w:t xml:space="preserve"> de Albert O. Hirschman « </w:t>
      </w:r>
      <w:r w:rsidR="00056A06">
        <w:rPr>
          <w:rFonts w:ascii="Times New Roman" w:hAnsi="Times New Roman" w:cs="Times New Roman"/>
          <w:sz w:val="24"/>
          <w:szCs w:val="20"/>
          <w:lang w:eastAsia="fr-FR"/>
        </w:rPr>
        <w:t>L</w:t>
      </w:r>
      <w:r>
        <w:rPr>
          <w:rFonts w:ascii="Times New Roman" w:hAnsi="Times New Roman" w:cs="Times New Roman"/>
          <w:sz w:val="24"/>
          <w:szCs w:val="20"/>
          <w:lang w:eastAsia="fr-FR"/>
        </w:rPr>
        <w:t xml:space="preserve">es passions et les intérêts » </w:t>
      </w:r>
      <w:r w:rsidR="00CB510B">
        <w:rPr>
          <w:rFonts w:ascii="Times New Roman" w:hAnsi="Times New Roman" w:cs="Times New Roman"/>
          <w:sz w:val="24"/>
          <w:szCs w:val="20"/>
          <w:lang w:eastAsia="fr-FR"/>
        </w:rPr>
        <w:t>montre comment cette prudence a été abandonnée à la Renaissance sous l’effet des moralistes qui ont glorifié l’accumulation.</w:t>
      </w:r>
      <w:r w:rsidR="00CB510B">
        <w:rPr>
          <w:rFonts w:ascii="Times New Roman" w:hAnsi="Times New Roman" w:cs="Times New Roman"/>
          <w:sz w:val="24"/>
          <w:szCs w:val="20"/>
          <w:lang w:eastAsia="fr-FR"/>
        </w:rPr>
        <w:br/>
        <w:t>Concernant la monnaie carbone, il serait impossible d’accumuler, c’est une monnaie fondante, la dotation est renouvelée chaque année avec 6% de moins sans ré</w:t>
      </w:r>
      <w:r w:rsidR="009B49BB">
        <w:rPr>
          <w:rFonts w:ascii="Times New Roman" w:hAnsi="Times New Roman" w:cs="Times New Roman"/>
          <w:sz w:val="24"/>
          <w:szCs w:val="20"/>
          <w:lang w:eastAsia="fr-FR"/>
        </w:rPr>
        <w:t>-</w:t>
      </w:r>
      <w:r w:rsidR="00CB510B">
        <w:rPr>
          <w:rFonts w:ascii="Times New Roman" w:hAnsi="Times New Roman" w:cs="Times New Roman"/>
          <w:sz w:val="24"/>
          <w:szCs w:val="20"/>
          <w:lang w:eastAsia="fr-FR"/>
        </w:rPr>
        <w:t xml:space="preserve">usage possible des quotas non utilisés des années précédentes. Cette prudence est nécessaire pour éviter tout risque de spéculation et de choc inflationniste. </w:t>
      </w:r>
      <w:r w:rsidR="005C3F73">
        <w:rPr>
          <w:rFonts w:ascii="Times New Roman" w:hAnsi="Times New Roman" w:cs="Times New Roman"/>
          <w:sz w:val="24"/>
          <w:szCs w:val="20"/>
          <w:lang w:eastAsia="fr-FR"/>
        </w:rPr>
        <w:t>De plus, o</w:t>
      </w:r>
      <w:r w:rsidR="00CB510B">
        <w:rPr>
          <w:rFonts w:ascii="Times New Roman" w:hAnsi="Times New Roman" w:cs="Times New Roman"/>
          <w:sz w:val="24"/>
          <w:szCs w:val="20"/>
          <w:lang w:eastAsia="fr-FR"/>
        </w:rPr>
        <w:t>n évite les risques de fraude comme vécu sur les quotas industriels en 2007-2008 qui ont couté 6 milliards € aux budgets des États Membres européens.</w:t>
      </w:r>
    </w:p>
    <w:p w:rsidR="0023633B" w:rsidRPr="00F8460F" w:rsidRDefault="0023633B" w:rsidP="0023633B">
      <w:pPr>
        <w:shd w:val="clear" w:color="auto" w:fill="FFFFFF" w:themeFill="background1"/>
        <w:rPr>
          <w:rFonts w:ascii="Times New Roman" w:hAnsi="Times New Roman" w:cs="Times New Roman"/>
          <w:b/>
          <w:sz w:val="24"/>
          <w:szCs w:val="20"/>
          <w:lang w:eastAsia="fr-FR"/>
        </w:rPr>
      </w:pPr>
      <w:r w:rsidRPr="00F8460F">
        <w:rPr>
          <w:rFonts w:ascii="Times New Roman" w:hAnsi="Times New Roman" w:cs="Times New Roman"/>
          <w:b/>
          <w:sz w:val="24"/>
          <w:szCs w:val="20"/>
          <w:lang w:eastAsia="fr-FR"/>
        </w:rPr>
        <w:t>Gérer les disparités</w:t>
      </w:r>
    </w:p>
    <w:p w:rsidR="0023633B" w:rsidRDefault="0023633B"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meilleures études sur les disparités menées d’un coté par le WIL World </w:t>
      </w:r>
      <w:proofErr w:type="spellStart"/>
      <w:r>
        <w:rPr>
          <w:rFonts w:ascii="Times New Roman" w:hAnsi="Times New Roman" w:cs="Times New Roman"/>
          <w:sz w:val="24"/>
          <w:szCs w:val="20"/>
          <w:lang w:eastAsia="fr-FR"/>
        </w:rPr>
        <w:t>Inequality</w:t>
      </w:r>
      <w:proofErr w:type="spellEnd"/>
      <w:r>
        <w:rPr>
          <w:rFonts w:ascii="Times New Roman" w:hAnsi="Times New Roman" w:cs="Times New Roman"/>
          <w:sz w:val="24"/>
          <w:szCs w:val="20"/>
          <w:lang w:eastAsia="fr-FR"/>
        </w:rPr>
        <w:t xml:space="preserve"> </w:t>
      </w:r>
      <w:proofErr w:type="spellStart"/>
      <w:r>
        <w:rPr>
          <w:rFonts w:ascii="Times New Roman" w:hAnsi="Times New Roman" w:cs="Times New Roman"/>
          <w:sz w:val="24"/>
          <w:szCs w:val="20"/>
          <w:lang w:eastAsia="fr-FR"/>
        </w:rPr>
        <w:t>Lab</w:t>
      </w:r>
      <w:proofErr w:type="spellEnd"/>
      <w:r w:rsidR="009B49BB">
        <w:rPr>
          <w:rStyle w:val="Appelnotedebasdep"/>
          <w:rFonts w:ascii="Times New Roman" w:hAnsi="Times New Roman" w:cs="Times New Roman"/>
          <w:sz w:val="24"/>
          <w:szCs w:val="20"/>
          <w:lang w:eastAsia="fr-FR"/>
        </w:rPr>
        <w:footnoteReference w:id="7"/>
      </w:r>
      <w:r>
        <w:rPr>
          <w:rFonts w:ascii="Times New Roman" w:hAnsi="Times New Roman" w:cs="Times New Roman"/>
          <w:sz w:val="24"/>
          <w:szCs w:val="20"/>
          <w:lang w:eastAsia="fr-FR"/>
        </w:rPr>
        <w:t xml:space="preserve"> rattaché à la </w:t>
      </w:r>
      <w:proofErr w:type="spellStart"/>
      <w:r>
        <w:rPr>
          <w:rFonts w:ascii="Times New Roman" w:hAnsi="Times New Roman" w:cs="Times New Roman"/>
          <w:sz w:val="24"/>
          <w:szCs w:val="20"/>
          <w:lang w:eastAsia="fr-FR"/>
        </w:rPr>
        <w:t>ParisSchoolEconomics</w:t>
      </w:r>
      <w:proofErr w:type="spellEnd"/>
      <w:r>
        <w:rPr>
          <w:rFonts w:ascii="Times New Roman" w:hAnsi="Times New Roman" w:cs="Times New Roman"/>
          <w:sz w:val="24"/>
          <w:szCs w:val="20"/>
          <w:lang w:eastAsia="fr-FR"/>
        </w:rPr>
        <w:t xml:space="preserve"> avec Lucas Chancel et Thomas Piketty</w:t>
      </w:r>
      <w:r w:rsidR="00A652E5">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et d’autre part </w:t>
      </w:r>
      <w:r>
        <w:rPr>
          <w:rFonts w:ascii="Times New Roman" w:hAnsi="Times New Roman" w:cs="Times New Roman"/>
          <w:sz w:val="24"/>
          <w:szCs w:val="20"/>
          <w:lang w:eastAsia="fr-FR"/>
        </w:rPr>
        <w:lastRenderedPageBreak/>
        <w:t>avec Antonin Pottier</w:t>
      </w:r>
      <w:r w:rsidR="009B49BB">
        <w:rPr>
          <w:rStyle w:val="Appelnotedebasdep"/>
          <w:rFonts w:ascii="Times New Roman" w:hAnsi="Times New Roman" w:cs="Times New Roman"/>
          <w:sz w:val="24"/>
          <w:szCs w:val="20"/>
          <w:lang w:eastAsia="fr-FR"/>
        </w:rPr>
        <w:footnoteReference w:id="8"/>
      </w:r>
      <w:r>
        <w:rPr>
          <w:rFonts w:ascii="Times New Roman" w:hAnsi="Times New Roman" w:cs="Times New Roman"/>
          <w:sz w:val="24"/>
          <w:szCs w:val="20"/>
          <w:lang w:eastAsia="fr-FR"/>
        </w:rPr>
        <w:t>, démontrent que les empreintes climatiques sont proportionnelles aux niveaux de vie des citoyens.</w:t>
      </w:r>
    </w:p>
    <w:p w:rsidR="0023633B" w:rsidRDefault="0023633B" w:rsidP="009B49BB">
      <w:pPr>
        <w:shd w:val="clear" w:color="auto" w:fill="FFFFFF" w:themeFill="background1"/>
        <w:jc w:val="center"/>
        <w:rPr>
          <w:rFonts w:ascii="Times New Roman" w:hAnsi="Times New Roman" w:cs="Times New Roman"/>
          <w:sz w:val="24"/>
          <w:szCs w:val="20"/>
          <w:lang w:eastAsia="fr-FR"/>
        </w:rPr>
      </w:pPr>
      <w:r>
        <w:rPr>
          <w:noProof/>
        </w:rPr>
        <w:drawing>
          <wp:inline distT="0" distB="0" distL="0" distR="0" wp14:anchorId="668EFE81" wp14:editId="1884F637">
            <wp:extent cx="3446608" cy="320802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9053" cy="3210296"/>
                    </a:xfrm>
                    <a:prstGeom prst="rect">
                      <a:avLst/>
                    </a:prstGeom>
                  </pic:spPr>
                </pic:pic>
              </a:graphicData>
            </a:graphic>
          </wp:inline>
        </w:drawing>
      </w:r>
    </w:p>
    <w:p w:rsidR="0023633B" w:rsidRDefault="0023633B"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La moyenne à 9000 kg CO</w:t>
      </w:r>
      <w:r w:rsidR="00B801B4" w:rsidRPr="00B801B4">
        <w:rPr>
          <w:rFonts w:ascii="Times New Roman" w:hAnsi="Times New Roman" w:cs="Times New Roman"/>
          <w:sz w:val="24"/>
          <w:szCs w:val="20"/>
          <w:vertAlign w:val="subscript"/>
          <w:lang w:eastAsia="fr-FR"/>
        </w:rPr>
        <w:t>2</w:t>
      </w:r>
      <w:r>
        <w:rPr>
          <w:rFonts w:ascii="Times New Roman" w:hAnsi="Times New Roman" w:cs="Times New Roman"/>
          <w:sz w:val="24"/>
          <w:szCs w:val="20"/>
          <w:lang w:eastAsia="fr-FR"/>
        </w:rPr>
        <w:t>e par personne et par an en France est largement admise : en dotant chaque français d’un quota de 9000 points carbone</w:t>
      </w:r>
      <w:r w:rsidR="009B49BB">
        <w:rPr>
          <w:rFonts w:ascii="Times New Roman" w:hAnsi="Times New Roman" w:cs="Times New Roman"/>
          <w:sz w:val="24"/>
          <w:szCs w:val="20"/>
          <w:lang w:eastAsia="fr-FR"/>
        </w:rPr>
        <w:t xml:space="preserve"> Ͼ</w:t>
      </w:r>
      <w:r>
        <w:rPr>
          <w:rFonts w:ascii="Times New Roman" w:hAnsi="Times New Roman" w:cs="Times New Roman"/>
          <w:sz w:val="24"/>
          <w:szCs w:val="20"/>
          <w:lang w:eastAsia="fr-FR"/>
        </w:rPr>
        <w:t xml:space="preserve"> (la 1</w:t>
      </w:r>
      <w:r w:rsidRPr="0023633B">
        <w:rPr>
          <w:rFonts w:ascii="Times New Roman" w:hAnsi="Times New Roman" w:cs="Times New Roman"/>
          <w:sz w:val="24"/>
          <w:szCs w:val="20"/>
          <w:vertAlign w:val="superscript"/>
          <w:lang w:eastAsia="fr-FR"/>
        </w:rPr>
        <w:t>ère</w:t>
      </w:r>
      <w:r>
        <w:rPr>
          <w:rFonts w:ascii="Times New Roman" w:hAnsi="Times New Roman" w:cs="Times New Roman"/>
          <w:sz w:val="24"/>
          <w:szCs w:val="20"/>
          <w:lang w:eastAsia="fr-FR"/>
        </w:rPr>
        <w:t xml:space="preserve"> année) les excédentaires et déficitaires se positionnent à 6</w:t>
      </w:r>
      <w:r w:rsidR="00E7723D">
        <w:rPr>
          <w:rFonts w:ascii="Times New Roman" w:hAnsi="Times New Roman" w:cs="Times New Roman"/>
          <w:sz w:val="24"/>
          <w:szCs w:val="20"/>
          <w:lang w:eastAsia="fr-FR"/>
        </w:rPr>
        <w:t>2</w:t>
      </w:r>
      <w:r>
        <w:rPr>
          <w:rFonts w:ascii="Times New Roman" w:hAnsi="Times New Roman" w:cs="Times New Roman"/>
          <w:sz w:val="24"/>
          <w:szCs w:val="20"/>
          <w:lang w:eastAsia="fr-FR"/>
        </w:rPr>
        <w:t>-3</w:t>
      </w:r>
      <w:r w:rsidR="00E7723D">
        <w:rPr>
          <w:rFonts w:ascii="Times New Roman" w:hAnsi="Times New Roman" w:cs="Times New Roman"/>
          <w:sz w:val="24"/>
          <w:szCs w:val="20"/>
          <w:lang w:eastAsia="fr-FR"/>
        </w:rPr>
        <w:t>8</w:t>
      </w:r>
      <w:r>
        <w:rPr>
          <w:rFonts w:ascii="Times New Roman" w:hAnsi="Times New Roman" w:cs="Times New Roman"/>
          <w:sz w:val="24"/>
          <w:szCs w:val="20"/>
          <w:lang w:eastAsia="fr-FR"/>
        </w:rPr>
        <w:t xml:space="preserve"> pour Pottier et 68-32 pour Chancel.</w:t>
      </w:r>
      <w:r w:rsidR="00644A4A">
        <w:rPr>
          <w:rFonts w:ascii="Times New Roman" w:hAnsi="Times New Roman" w:cs="Times New Roman"/>
          <w:sz w:val="24"/>
          <w:szCs w:val="20"/>
          <w:lang w:eastAsia="fr-FR"/>
        </w:rPr>
        <w:t xml:space="preserve"> Les 68% les plus modestes auront des excédents qui intéresseraient les plus riches ?</w:t>
      </w:r>
      <w:r w:rsidR="00E7723D">
        <w:rPr>
          <w:rFonts w:ascii="Times New Roman" w:hAnsi="Times New Roman" w:cs="Times New Roman"/>
          <w:sz w:val="24"/>
          <w:szCs w:val="20"/>
          <w:lang w:eastAsia="fr-FR"/>
        </w:rPr>
        <w:t xml:space="preserve"> </w:t>
      </w:r>
    </w:p>
    <w:p w:rsidR="00E7723D" w:rsidRPr="00E7723D" w:rsidRDefault="00E7723D" w:rsidP="0023633B">
      <w:pPr>
        <w:shd w:val="clear" w:color="auto" w:fill="FFFFFF" w:themeFill="background1"/>
        <w:rPr>
          <w:rFonts w:ascii="Times New Roman" w:hAnsi="Times New Roman" w:cs="Times New Roman"/>
          <w:b/>
          <w:sz w:val="24"/>
          <w:szCs w:val="20"/>
          <w:lang w:eastAsia="fr-FR"/>
        </w:rPr>
      </w:pPr>
      <w:r>
        <w:rPr>
          <w:rFonts w:ascii="Times New Roman" w:hAnsi="Times New Roman" w:cs="Times New Roman"/>
          <w:sz w:val="24"/>
          <w:szCs w:val="20"/>
          <w:lang w:eastAsia="fr-FR"/>
        </w:rPr>
        <w:t xml:space="preserve">Antonin Pottier base son étude sur </w:t>
      </w:r>
      <w:r w:rsidRPr="00E7723D">
        <w:rPr>
          <w:rFonts w:ascii="Times New Roman" w:hAnsi="Times New Roman" w:cs="Times New Roman"/>
          <w:sz w:val="24"/>
          <w:szCs w:val="20"/>
          <w:lang w:eastAsia="fr-FR"/>
        </w:rPr>
        <w:t>l’enquête de niveau de vie de 2013 et montre là que 62% des français sont bénéficiaires avec 9000 points (dont 86% de gagnants dans la tranche 1 des revenus les plus faibles, 82 dans la seconde tranche, 77 dans le 3ème décile, 69 dans le 4ème, 68 dans le 5ème, 62 et 55 pour les 6 et 7ème, et enfin 53, 54 et 29 pour les 3 déciles les plus riches : 71% des 10% de français les plus riches manqueraient vite de carbone pour leur quotidien).</w:t>
      </w:r>
      <w:r>
        <w:rPr>
          <w:rFonts w:ascii="Times New Roman" w:hAnsi="Times New Roman" w:cs="Times New Roman"/>
          <w:sz w:val="24"/>
          <w:szCs w:val="20"/>
          <w:lang w:eastAsia="fr-FR"/>
        </w:rPr>
        <w:t xml:space="preserve"> Lucas Chancel montre qu’aucun français modeste des quatre premiers déciles ne manquerait de carbone avec 9000 points </w:t>
      </w:r>
      <w:r w:rsidR="009B49BB">
        <w:rPr>
          <w:rFonts w:ascii="Times New Roman" w:hAnsi="Times New Roman" w:cs="Times New Roman"/>
          <w:sz w:val="24"/>
          <w:szCs w:val="20"/>
          <w:lang w:eastAsia="fr-FR"/>
        </w:rPr>
        <w:t xml:space="preserve">Ͼ </w:t>
      </w:r>
      <w:r>
        <w:rPr>
          <w:rFonts w:ascii="Times New Roman" w:hAnsi="Times New Roman" w:cs="Times New Roman"/>
          <w:sz w:val="24"/>
          <w:szCs w:val="20"/>
          <w:lang w:eastAsia="fr-FR"/>
        </w:rPr>
        <w:t>annuels.</w:t>
      </w:r>
    </w:p>
    <w:p w:rsidR="00E7723D" w:rsidRPr="00E7723D" w:rsidRDefault="00E7723D" w:rsidP="0023633B">
      <w:pPr>
        <w:shd w:val="clear" w:color="auto" w:fill="FFFFFF" w:themeFill="background1"/>
        <w:rPr>
          <w:rFonts w:ascii="Times New Roman" w:hAnsi="Times New Roman" w:cs="Times New Roman"/>
          <w:b/>
          <w:sz w:val="24"/>
          <w:szCs w:val="20"/>
          <w:lang w:eastAsia="fr-FR"/>
        </w:rPr>
      </w:pPr>
      <w:r w:rsidRPr="00E7723D">
        <w:rPr>
          <w:rFonts w:ascii="Times New Roman" w:hAnsi="Times New Roman" w:cs="Times New Roman"/>
          <w:b/>
          <w:sz w:val="24"/>
          <w:szCs w:val="20"/>
          <w:lang w:eastAsia="fr-FR"/>
        </w:rPr>
        <w:t xml:space="preserve">Laisser les </w:t>
      </w:r>
      <w:r w:rsidR="00535B46">
        <w:rPr>
          <w:rFonts w:ascii="Times New Roman" w:hAnsi="Times New Roman" w:cs="Times New Roman"/>
          <w:b/>
          <w:sz w:val="24"/>
          <w:szCs w:val="20"/>
          <w:lang w:eastAsia="fr-FR"/>
        </w:rPr>
        <w:t>ultra-</w:t>
      </w:r>
      <w:r w:rsidRPr="00E7723D">
        <w:rPr>
          <w:rFonts w:ascii="Times New Roman" w:hAnsi="Times New Roman" w:cs="Times New Roman"/>
          <w:b/>
          <w:sz w:val="24"/>
          <w:szCs w:val="20"/>
          <w:lang w:eastAsia="fr-FR"/>
        </w:rPr>
        <w:t>riches mourir de faim ?</w:t>
      </w:r>
    </w:p>
    <w:p w:rsidR="00E7723D" w:rsidRDefault="00E7723D"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 xml:space="preserve">On comprend facilement que le commerçant ne peut pas délivrer de marchandise à quelqu’un qui n’a plus de quotas, il a besoin des points carbone pour ses fournisseurs, lesquels conditionnent les livraisons à la remise du carbone porté sur les factures… </w:t>
      </w:r>
    </w:p>
    <w:p w:rsidR="00E7723D" w:rsidRDefault="0027146E"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riches deviendront déficitaires avant la fin de l’année et demanderont des surplus. Il serait anticonstitutionnel de le refuser alors il faut adapter la règle : admettons que les riches puissent acheter des surplus de survie qui seraient différenciés, par exemple pour ne servir qu’aux achats indispensables, alimentaires, santé, hygiène… </w:t>
      </w:r>
    </w:p>
    <w:p w:rsidR="0027146E" w:rsidRPr="00F8460F" w:rsidRDefault="005C3F73" w:rsidP="0023633B">
      <w:pPr>
        <w:shd w:val="clear" w:color="auto" w:fill="FFFFFF" w:themeFill="background1"/>
        <w:rPr>
          <w:rFonts w:ascii="Times New Roman" w:hAnsi="Times New Roman" w:cs="Times New Roman"/>
          <w:b/>
          <w:sz w:val="24"/>
          <w:szCs w:val="20"/>
          <w:lang w:eastAsia="fr-FR"/>
        </w:rPr>
      </w:pPr>
      <w:r>
        <w:rPr>
          <w:rFonts w:ascii="Times New Roman" w:hAnsi="Times New Roman" w:cs="Times New Roman"/>
          <w:sz w:val="24"/>
          <w:szCs w:val="20"/>
          <w:lang w:eastAsia="fr-FR"/>
        </w:rPr>
        <w:t>Sachant qu’</w:t>
      </w:r>
      <w:r w:rsidR="0027146E">
        <w:rPr>
          <w:rFonts w:ascii="Times New Roman" w:hAnsi="Times New Roman" w:cs="Times New Roman"/>
          <w:sz w:val="24"/>
          <w:szCs w:val="20"/>
          <w:lang w:eastAsia="fr-FR"/>
        </w:rPr>
        <w:t xml:space="preserve">il faut respecter la masse monétaire nationale de carbone, ces surplus ne pourraient provenir que des quotas non utilisés des plus modestes. Encore faut-il éviter les manipulations que pourraient opérer les déficitaires vis-à-vis des excédentaires, éviter des </w:t>
      </w:r>
      <w:r w:rsidR="0027146E">
        <w:rPr>
          <w:rFonts w:ascii="Times New Roman" w:hAnsi="Times New Roman" w:cs="Times New Roman"/>
          <w:sz w:val="24"/>
          <w:szCs w:val="20"/>
          <w:lang w:eastAsia="fr-FR"/>
        </w:rPr>
        <w:lastRenderedPageBreak/>
        <w:t>marchandages, des relations léonines, des abus de faiblesse. Le mécanisme proposé est la mise en œuvre d’ajustoirs régionaux voire locaux où l’autorité garantirait le respect des droits et l’équilibre des cours entre offre et demande de quotas entre particuliers</w:t>
      </w:r>
      <w:r w:rsidR="00AA4F3B">
        <w:rPr>
          <w:rFonts w:ascii="Times New Roman" w:hAnsi="Times New Roman" w:cs="Times New Roman"/>
          <w:sz w:val="24"/>
          <w:szCs w:val="20"/>
          <w:lang w:eastAsia="fr-FR"/>
        </w:rPr>
        <w:t>, des guichets carbone (relayés par une appli sur téléphone)</w:t>
      </w:r>
      <w:r w:rsidR="0027146E">
        <w:rPr>
          <w:rFonts w:ascii="Times New Roman" w:hAnsi="Times New Roman" w:cs="Times New Roman"/>
          <w:sz w:val="24"/>
          <w:szCs w:val="20"/>
          <w:lang w:eastAsia="fr-FR"/>
        </w:rPr>
        <w:t>.</w:t>
      </w:r>
    </w:p>
    <w:p w:rsidR="002B5810" w:rsidRPr="00F8460F" w:rsidRDefault="002B5810" w:rsidP="0023633B">
      <w:pPr>
        <w:shd w:val="clear" w:color="auto" w:fill="FFFFFF" w:themeFill="background1"/>
        <w:rPr>
          <w:rFonts w:ascii="Times New Roman" w:hAnsi="Times New Roman" w:cs="Times New Roman"/>
          <w:b/>
          <w:sz w:val="24"/>
          <w:szCs w:val="20"/>
          <w:lang w:eastAsia="fr-FR"/>
        </w:rPr>
      </w:pPr>
      <w:r w:rsidRPr="00F8460F">
        <w:rPr>
          <w:rFonts w:ascii="Times New Roman" w:hAnsi="Times New Roman" w:cs="Times New Roman"/>
          <w:b/>
          <w:sz w:val="24"/>
          <w:szCs w:val="20"/>
          <w:lang w:eastAsia="fr-FR"/>
        </w:rPr>
        <w:t>Une agence carbone indépendante dans chaque pays ?</w:t>
      </w:r>
    </w:p>
    <w:p w:rsidR="0027146E" w:rsidRDefault="0027146E"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 xml:space="preserve">Selon les préceptes énoncés par Elinor </w:t>
      </w:r>
      <w:r w:rsidR="00AA4F3B">
        <w:rPr>
          <w:rFonts w:ascii="Times New Roman" w:hAnsi="Times New Roman" w:cs="Times New Roman"/>
          <w:sz w:val="24"/>
          <w:szCs w:val="20"/>
          <w:lang w:eastAsia="fr-FR"/>
        </w:rPr>
        <w:t>Oström</w:t>
      </w:r>
      <w:r>
        <w:rPr>
          <w:rFonts w:ascii="Times New Roman" w:hAnsi="Times New Roman" w:cs="Times New Roman"/>
          <w:sz w:val="24"/>
          <w:szCs w:val="20"/>
          <w:lang w:eastAsia="fr-FR"/>
        </w:rPr>
        <w:t xml:space="preserve"> en matière de communs, l’ensemble de la monnaie carbone serait géré ni par les entreprises ni par l’État, mais par une agence paritaire indépendante comme avait été conçue la Sécurité Sociale en 1945. Cette agence </w:t>
      </w:r>
      <w:r w:rsidR="00E34393">
        <w:rPr>
          <w:rFonts w:ascii="Times New Roman" w:hAnsi="Times New Roman" w:cs="Times New Roman"/>
          <w:sz w:val="24"/>
          <w:szCs w:val="20"/>
          <w:lang w:eastAsia="fr-FR"/>
        </w:rPr>
        <w:t>aurait de larges missions dont la tenue du compte carbone de chaque français, le suivi des bilans carbone des entreprises (obligation d’égalité entre entrées et sorties comme en bilan comptable), la tenue de la nomenclature douanière définissant les standards d’importation et exportation. Elle serait dotée d’une gouvernance robuste pour éviter toute fraude. Elle encadrerait les cours d’échange de quotas carbone entre particuliers (le carbone n’ayant pas de valeur monétaire en entreprise) et suivrait la diminution de l’empreinte carbone des services publics devant également réduire de 6% par an en moyenne tout en tenant compte des besoins de santé et d’éducation qui ont été sacrifiés par le passé.</w:t>
      </w:r>
    </w:p>
    <w:p w:rsidR="00F8460F" w:rsidRPr="00F8460F" w:rsidRDefault="00F8460F" w:rsidP="0023633B">
      <w:pPr>
        <w:shd w:val="clear" w:color="auto" w:fill="FFFFFF" w:themeFill="background1"/>
        <w:rPr>
          <w:rFonts w:ascii="Times New Roman" w:hAnsi="Times New Roman" w:cs="Times New Roman"/>
          <w:b/>
          <w:sz w:val="24"/>
          <w:szCs w:val="20"/>
          <w:lang w:eastAsia="fr-FR"/>
        </w:rPr>
      </w:pPr>
      <w:r>
        <w:rPr>
          <w:rFonts w:ascii="Times New Roman" w:hAnsi="Times New Roman" w:cs="Times New Roman"/>
          <w:sz w:val="24"/>
          <w:szCs w:val="20"/>
          <w:lang w:eastAsia="fr-FR"/>
        </w:rPr>
        <w:t xml:space="preserve">C’est aussi sous l’influence d’Elinor </w:t>
      </w:r>
      <w:r w:rsidR="00AA4F3B">
        <w:rPr>
          <w:rFonts w:ascii="Times New Roman" w:hAnsi="Times New Roman" w:cs="Times New Roman"/>
          <w:sz w:val="24"/>
          <w:szCs w:val="20"/>
          <w:lang w:eastAsia="fr-FR"/>
        </w:rPr>
        <w:t>Oström</w:t>
      </w:r>
      <w:r>
        <w:rPr>
          <w:rFonts w:ascii="Times New Roman" w:hAnsi="Times New Roman" w:cs="Times New Roman"/>
          <w:sz w:val="24"/>
          <w:szCs w:val="20"/>
          <w:lang w:eastAsia="fr-FR"/>
        </w:rPr>
        <w:t xml:space="preserve"> que seraient proposés des ajustoirs régionaux plutôt que nationalement : elle recommand</w:t>
      </w:r>
      <w:r w:rsidR="00AA4F3B">
        <w:rPr>
          <w:rFonts w:ascii="Times New Roman" w:hAnsi="Times New Roman" w:cs="Times New Roman"/>
          <w:sz w:val="24"/>
          <w:szCs w:val="20"/>
          <w:lang w:eastAsia="fr-FR"/>
        </w:rPr>
        <w:t>ait</w:t>
      </w:r>
      <w:r>
        <w:rPr>
          <w:rFonts w:ascii="Times New Roman" w:hAnsi="Times New Roman" w:cs="Times New Roman"/>
          <w:sz w:val="24"/>
          <w:szCs w:val="20"/>
          <w:lang w:eastAsia="fr-FR"/>
        </w:rPr>
        <w:t xml:space="preserve"> des modes d’organisation polycentriques pour être au plus près des citoyens. Dans ces ajustoirs, les cours</w:t>
      </w:r>
      <w:r w:rsidR="00AA4F3B">
        <w:rPr>
          <w:rFonts w:ascii="Times New Roman" w:hAnsi="Times New Roman" w:cs="Times New Roman"/>
          <w:sz w:val="24"/>
          <w:szCs w:val="20"/>
          <w:lang w:eastAsia="fr-FR"/>
        </w:rPr>
        <w:t xml:space="preserve"> d’échange carbone</w:t>
      </w:r>
      <w:r>
        <w:rPr>
          <w:rFonts w:ascii="Times New Roman" w:hAnsi="Times New Roman" w:cs="Times New Roman"/>
          <w:sz w:val="24"/>
          <w:szCs w:val="20"/>
          <w:lang w:eastAsia="fr-FR"/>
        </w:rPr>
        <w:t xml:space="preserve"> pourraient évoluer différemment d’une région à l’autre, ce qui serait stimulant d’une part mais aussi désorientant si ces écarts devenaient trop importants :  l’agence nationale pourrait décider de péréquations pour réguler les cours dans une fourchette par exemple de 10% d’écart.</w:t>
      </w:r>
    </w:p>
    <w:p w:rsidR="00F8460F" w:rsidRPr="00F8460F" w:rsidRDefault="00F8460F" w:rsidP="0023633B">
      <w:pPr>
        <w:shd w:val="clear" w:color="auto" w:fill="FFFFFF" w:themeFill="background1"/>
        <w:rPr>
          <w:rFonts w:ascii="Times New Roman" w:hAnsi="Times New Roman" w:cs="Times New Roman"/>
          <w:b/>
          <w:sz w:val="24"/>
          <w:szCs w:val="20"/>
          <w:lang w:eastAsia="fr-FR"/>
        </w:rPr>
      </w:pPr>
      <w:r w:rsidRPr="00F8460F">
        <w:rPr>
          <w:rFonts w:ascii="Times New Roman" w:hAnsi="Times New Roman" w:cs="Times New Roman"/>
          <w:b/>
          <w:sz w:val="24"/>
          <w:szCs w:val="20"/>
          <w:lang w:eastAsia="fr-FR"/>
        </w:rPr>
        <w:t>Quelles évolutions des cours d’échange du carbone</w:t>
      </w:r>
    </w:p>
    <w:p w:rsidR="00F8460F" w:rsidRDefault="00F8460F" w:rsidP="0023633B">
      <w:pPr>
        <w:shd w:val="clear" w:color="auto" w:fill="FFFFFF" w:themeFill="background1"/>
        <w:rPr>
          <w:rFonts w:ascii="Times New Roman" w:hAnsi="Times New Roman" w:cs="Times New Roman"/>
          <w:sz w:val="24"/>
          <w:szCs w:val="20"/>
          <w:lang w:eastAsia="fr-FR"/>
        </w:rPr>
      </w:pPr>
      <w:r>
        <w:rPr>
          <w:rFonts w:ascii="Times New Roman" w:hAnsi="Times New Roman" w:cs="Times New Roman"/>
          <w:sz w:val="24"/>
          <w:szCs w:val="20"/>
          <w:lang w:eastAsia="fr-FR"/>
        </w:rPr>
        <w:t>Précisons bien que c’est une monnaie entre particuliers et pas entre entreprises, et que même si nous avons affaire à une monnaie, il n’y a pas de marché du carbone puisque on ne peut pas spéculer ni échanger en dehors des ajustoirs.</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 xml:space="preserve">Nous supposons </w:t>
      </w:r>
      <w:r w:rsidR="005C3F73">
        <w:rPr>
          <w:rFonts w:ascii="Times New Roman" w:hAnsi="Times New Roman" w:cs="Times New Roman"/>
          <w:sz w:val="24"/>
          <w:szCs w:val="20"/>
          <w:lang w:eastAsia="fr-FR"/>
        </w:rPr>
        <w:t>que le cours</w:t>
      </w:r>
      <w:r w:rsidRPr="00BC01E4">
        <w:rPr>
          <w:rFonts w:ascii="Times New Roman" w:hAnsi="Times New Roman" w:cs="Times New Roman"/>
          <w:sz w:val="24"/>
          <w:szCs w:val="20"/>
          <w:lang w:eastAsia="fr-FR"/>
        </w:rPr>
        <w:t xml:space="preserve"> démarre à 100 € la tonne</w:t>
      </w:r>
      <w:r w:rsidR="005C3F73">
        <w:rPr>
          <w:rFonts w:ascii="Times New Roman" w:hAnsi="Times New Roman" w:cs="Times New Roman"/>
          <w:sz w:val="24"/>
          <w:szCs w:val="20"/>
          <w:lang w:eastAsia="fr-FR"/>
        </w:rPr>
        <w:t>, soit</w:t>
      </w:r>
      <w:r w:rsidRPr="00BC01E4">
        <w:rPr>
          <w:rFonts w:ascii="Times New Roman" w:hAnsi="Times New Roman" w:cs="Times New Roman"/>
          <w:sz w:val="24"/>
          <w:szCs w:val="20"/>
          <w:lang w:eastAsia="fr-FR"/>
        </w:rPr>
        <w:t xml:space="preserve"> au même niveau que l'échange européen de quotas industriels (marché EU-ETS).</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 xml:space="preserve">L’empreinte carbone française annuelle </w:t>
      </w:r>
      <w:r w:rsidR="005C3F73">
        <w:rPr>
          <w:rFonts w:ascii="Times New Roman" w:hAnsi="Times New Roman" w:cs="Times New Roman"/>
          <w:sz w:val="24"/>
          <w:szCs w:val="20"/>
          <w:lang w:eastAsia="fr-FR"/>
        </w:rPr>
        <w:t>étant de</w:t>
      </w:r>
      <w:r w:rsidRPr="00BC01E4">
        <w:rPr>
          <w:rFonts w:ascii="Times New Roman" w:hAnsi="Times New Roman" w:cs="Times New Roman"/>
          <w:sz w:val="24"/>
          <w:szCs w:val="20"/>
          <w:lang w:eastAsia="fr-FR"/>
        </w:rPr>
        <w:t xml:space="preserve"> 6</w:t>
      </w:r>
      <w:r w:rsidR="00AA4F3B">
        <w:rPr>
          <w:rFonts w:ascii="Times New Roman" w:hAnsi="Times New Roman" w:cs="Times New Roman"/>
          <w:sz w:val="24"/>
          <w:szCs w:val="20"/>
          <w:lang w:eastAsia="fr-FR"/>
        </w:rPr>
        <w:t>23 millions de tonnes</w:t>
      </w:r>
      <w:r w:rsidRPr="00BC01E4">
        <w:rPr>
          <w:rFonts w:ascii="Times New Roman" w:hAnsi="Times New Roman" w:cs="Times New Roman"/>
          <w:sz w:val="24"/>
          <w:szCs w:val="20"/>
          <w:lang w:eastAsia="fr-FR"/>
        </w:rPr>
        <w:t xml:space="preserve"> CO</w:t>
      </w:r>
      <w:r w:rsidRPr="009939BA">
        <w:rPr>
          <w:rFonts w:ascii="Times New Roman" w:hAnsi="Times New Roman" w:cs="Times New Roman"/>
          <w:sz w:val="24"/>
          <w:szCs w:val="20"/>
          <w:vertAlign w:val="subscript"/>
          <w:lang w:eastAsia="fr-FR"/>
        </w:rPr>
        <w:t>2</w:t>
      </w:r>
      <w:r w:rsidRPr="00BC01E4">
        <w:rPr>
          <w:rFonts w:ascii="Times New Roman" w:hAnsi="Times New Roman" w:cs="Times New Roman"/>
          <w:sz w:val="24"/>
          <w:szCs w:val="20"/>
          <w:lang w:eastAsia="fr-FR"/>
        </w:rPr>
        <w:t>e, le mécanisme de compte carbone délivrerait 6</w:t>
      </w:r>
      <w:r w:rsidR="00AA4F3B">
        <w:rPr>
          <w:rFonts w:ascii="Times New Roman" w:hAnsi="Times New Roman" w:cs="Times New Roman"/>
          <w:sz w:val="24"/>
          <w:szCs w:val="20"/>
          <w:lang w:eastAsia="fr-FR"/>
        </w:rPr>
        <w:t>23</w:t>
      </w:r>
      <w:r w:rsidRPr="00BC01E4">
        <w:rPr>
          <w:rFonts w:ascii="Times New Roman" w:hAnsi="Times New Roman" w:cs="Times New Roman"/>
          <w:sz w:val="24"/>
          <w:szCs w:val="20"/>
          <w:lang w:eastAsia="fr-FR"/>
        </w:rPr>
        <w:t xml:space="preserve"> milliards de points carbone Ͼ ou MdϾ.</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La première année nous sommes à 9000 kg de CO</w:t>
      </w:r>
      <w:r w:rsidR="00056A06" w:rsidRPr="00B801B4">
        <w:rPr>
          <w:rFonts w:ascii="Times New Roman" w:hAnsi="Times New Roman" w:cs="Times New Roman"/>
          <w:sz w:val="24"/>
          <w:szCs w:val="20"/>
          <w:vertAlign w:val="subscript"/>
          <w:lang w:eastAsia="fr-FR"/>
        </w:rPr>
        <w:t>2</w:t>
      </w:r>
      <w:r w:rsidRPr="00BC01E4">
        <w:rPr>
          <w:rFonts w:ascii="Times New Roman" w:hAnsi="Times New Roman" w:cs="Times New Roman"/>
          <w:sz w:val="24"/>
          <w:szCs w:val="20"/>
          <w:lang w:eastAsia="fr-FR"/>
        </w:rPr>
        <w:t xml:space="preserve"> </w:t>
      </w:r>
      <w:r w:rsidR="00AA4F3B" w:rsidRPr="00BC01E4">
        <w:rPr>
          <w:rFonts w:ascii="Times New Roman" w:hAnsi="Times New Roman" w:cs="Times New Roman"/>
          <w:sz w:val="24"/>
          <w:szCs w:val="20"/>
          <w:lang w:eastAsia="fr-FR"/>
        </w:rPr>
        <w:t>(9000</w:t>
      </w:r>
      <w:r w:rsidR="00AA4F3B">
        <w:rPr>
          <w:rFonts w:ascii="Times New Roman" w:hAnsi="Times New Roman" w:cs="Times New Roman"/>
          <w:sz w:val="24"/>
          <w:szCs w:val="20"/>
          <w:lang w:eastAsia="fr-FR"/>
        </w:rPr>
        <w:t xml:space="preserve"> </w:t>
      </w:r>
      <w:r w:rsidR="00AA4F3B" w:rsidRPr="00BC01E4">
        <w:rPr>
          <w:rFonts w:ascii="Times New Roman" w:hAnsi="Times New Roman" w:cs="Times New Roman"/>
          <w:sz w:val="24"/>
          <w:szCs w:val="20"/>
          <w:lang w:eastAsia="fr-FR"/>
        </w:rPr>
        <w:t xml:space="preserve">Ͼ) </w:t>
      </w:r>
      <w:r w:rsidRPr="00BC01E4">
        <w:rPr>
          <w:rFonts w:ascii="Times New Roman" w:hAnsi="Times New Roman" w:cs="Times New Roman"/>
          <w:sz w:val="24"/>
          <w:szCs w:val="20"/>
          <w:lang w:eastAsia="fr-FR"/>
        </w:rPr>
        <w:t>par personne et par an, 32 % des Français sont au-dessus, ils sont donc 22 millions, ils ont besoin de plus que 9000, ils reçoivent 9*22 soit 198 MdϾ ou millions de tonnes, ils consomment 302 millions de tonnes (c’est la moyenne donc autant à plus que 9000 qu’à moins que 9000) et il leur manque 104 millions de tonnes selon leur consommation.</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68 % des Français (les plus sobres) soit 46 millions ont aussi besoin de 302 millions de tonnes ils reçoivent 9 par 46 millions soit 414 millions de tonnes (414 MdϾ) ils ont 112 millions t d'excédents.</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Supposons que seulement la moitié revende leurs excédents : on crée une tension entre la demande de 104 millions de tonnes des riches et l'offre de 56 millions de tonnes des plus modestes : le prix passe en deuxième année à 200 € (doublement).</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lastRenderedPageBreak/>
        <w:t>En deuxième année à 8400 Ͼ par personne les plus riches ont toujours besoin de 302 millions de tonnes il leur manque 117 selon l'attribution de 185 millions de tonnes.</w:t>
      </w:r>
    </w:p>
    <w:p w:rsidR="00BC01E4" w:rsidRPr="00BC01E4" w:rsidRDefault="00BC01E4" w:rsidP="00BC01E4">
      <w:pPr>
        <w:shd w:val="clear" w:color="auto" w:fill="FFFFFF" w:themeFill="background1"/>
        <w:rPr>
          <w:rFonts w:ascii="Times New Roman" w:hAnsi="Times New Roman" w:cs="Times New Roman"/>
          <w:sz w:val="24"/>
          <w:szCs w:val="20"/>
          <w:lang w:eastAsia="fr-FR"/>
        </w:rPr>
      </w:pPr>
      <w:r w:rsidRPr="00BC01E4">
        <w:rPr>
          <w:rFonts w:ascii="Times New Roman" w:hAnsi="Times New Roman" w:cs="Times New Roman"/>
          <w:sz w:val="24"/>
          <w:szCs w:val="20"/>
          <w:lang w:eastAsia="fr-FR"/>
        </w:rPr>
        <w:t>Les plus modestes n'ont plus que 386 et besoin de 302 ils n’ont que 84 de surplus : le cours passe rapidement pour l'année suivante de 200 à 400 € la tonne ou 40ct/Ͼ.</w:t>
      </w:r>
    </w:p>
    <w:p w:rsidR="00F8460F" w:rsidRDefault="00BC01E4" w:rsidP="0023633B">
      <w:pPr>
        <w:shd w:val="clear" w:color="auto" w:fill="FFFFFF" w:themeFill="background1"/>
        <w:rPr>
          <w:rFonts w:ascii="Times New Roman" w:hAnsi="Times New Roman" w:cs="Times New Roman"/>
          <w:sz w:val="24"/>
          <w:szCs w:val="20"/>
          <w:lang w:eastAsia="fr-FR"/>
        </w:rPr>
      </w:pPr>
      <w:r>
        <w:rPr>
          <w:noProof/>
        </w:rPr>
        <w:drawing>
          <wp:inline distT="0" distB="0" distL="0" distR="0" wp14:anchorId="2D96147C" wp14:editId="719C9A28">
            <wp:extent cx="5695950" cy="3143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5950" cy="3143250"/>
                    </a:xfrm>
                    <a:prstGeom prst="rect">
                      <a:avLst/>
                    </a:prstGeom>
                  </pic:spPr>
                </pic:pic>
              </a:graphicData>
            </a:graphic>
          </wp:inline>
        </w:drawing>
      </w:r>
    </w:p>
    <w:p w:rsidR="00BC01E4" w:rsidRPr="003417E8" w:rsidRDefault="00BC01E4" w:rsidP="003417E8">
      <w:pPr>
        <w:pBdr>
          <w:bottom w:val="dotted" w:sz="24" w:space="1" w:color="auto"/>
        </w:pBdr>
        <w:spacing w:before="100" w:beforeAutospacing="1" w:after="100" w:afterAutospacing="1"/>
        <w:rPr>
          <w:rFonts w:ascii="Times New Roman" w:hAnsi="Times New Roman" w:cs="Times New Roman"/>
          <w:sz w:val="24"/>
          <w:szCs w:val="20"/>
          <w:lang w:eastAsia="fr-FR"/>
        </w:rPr>
      </w:pPr>
      <w:r w:rsidRPr="003417E8">
        <w:rPr>
          <w:rFonts w:ascii="Times New Roman" w:hAnsi="Times New Roman" w:cs="Times New Roman"/>
          <w:sz w:val="24"/>
          <w:szCs w:val="20"/>
          <w:lang w:eastAsia="fr-FR"/>
        </w:rPr>
        <w:t>En 3e année les riches ont toujours besoin de 302 millions de tonnes mais ne reçoivent que 174 il leur manque 128. Les plus modestes n'auraient que 366 pour une consommation de 302 soit 64 d'excédent : si on ne peut revendre que 50 on double encore le cours qui va passer à 800. Soit 80 centimes par Ͼ.</w:t>
      </w:r>
    </w:p>
    <w:p w:rsidR="00BC01E4" w:rsidRPr="003417E8" w:rsidRDefault="00BC01E4" w:rsidP="003417E8">
      <w:pPr>
        <w:pBdr>
          <w:bottom w:val="dotted" w:sz="24" w:space="1" w:color="auto"/>
        </w:pBdr>
        <w:spacing w:before="100" w:beforeAutospacing="1" w:after="100" w:afterAutospacing="1"/>
        <w:rPr>
          <w:rFonts w:ascii="Times New Roman" w:hAnsi="Times New Roman" w:cs="Times New Roman"/>
          <w:sz w:val="24"/>
          <w:szCs w:val="20"/>
          <w:lang w:eastAsia="fr-FR"/>
        </w:rPr>
      </w:pPr>
      <w:r w:rsidRPr="003417E8">
        <w:rPr>
          <w:rFonts w:ascii="Times New Roman" w:hAnsi="Times New Roman" w:cs="Times New Roman"/>
          <w:sz w:val="24"/>
          <w:szCs w:val="20"/>
          <w:lang w:eastAsia="fr-FR"/>
        </w:rPr>
        <w:t>En 4e année les riches ont investi et s'adaptent pour ne manquer que 100 millions de tonnes ; les pauvres font aussi des économies ils peuvent offrir 70 millions de tonnes</w:t>
      </w:r>
      <w:r w:rsidR="003417E8" w:rsidRPr="003417E8">
        <w:rPr>
          <w:rFonts w:ascii="Times New Roman" w:hAnsi="Times New Roman" w:cs="Times New Roman"/>
          <w:sz w:val="24"/>
          <w:szCs w:val="20"/>
          <w:lang w:eastAsia="fr-FR"/>
        </w:rPr>
        <w:t>,</w:t>
      </w:r>
      <w:r w:rsidRPr="003417E8">
        <w:rPr>
          <w:rFonts w:ascii="Times New Roman" w:hAnsi="Times New Roman" w:cs="Times New Roman"/>
          <w:sz w:val="24"/>
          <w:szCs w:val="20"/>
          <w:lang w:eastAsia="fr-FR"/>
        </w:rPr>
        <w:t xml:space="preserve"> la valeur se stabilise à 1000 € par tonne ou 1€/Ͼ.</w:t>
      </w:r>
    </w:p>
    <w:p w:rsidR="00BC01E4" w:rsidRPr="003417E8" w:rsidRDefault="00BC01E4" w:rsidP="003417E8">
      <w:pPr>
        <w:pBdr>
          <w:bottom w:val="dotted" w:sz="24" w:space="1" w:color="auto"/>
        </w:pBdr>
        <w:spacing w:before="100" w:beforeAutospacing="1" w:after="100" w:afterAutospacing="1"/>
        <w:rPr>
          <w:rFonts w:ascii="Times New Roman" w:hAnsi="Times New Roman" w:cs="Times New Roman"/>
          <w:sz w:val="24"/>
          <w:szCs w:val="20"/>
          <w:lang w:eastAsia="fr-FR"/>
        </w:rPr>
      </w:pPr>
      <w:r w:rsidRPr="003417E8">
        <w:rPr>
          <w:rFonts w:ascii="Times New Roman" w:hAnsi="Times New Roman" w:cs="Times New Roman"/>
          <w:sz w:val="24"/>
          <w:szCs w:val="20"/>
          <w:lang w:eastAsia="fr-FR"/>
        </w:rPr>
        <w:t>En 5e année manque 100 millions de tonnes et offre de 80 millions de tonnes alors le cours s'établit à 1200 € par tonne.</w:t>
      </w:r>
    </w:p>
    <w:p w:rsidR="00BC01E4" w:rsidRDefault="00BC01E4"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sidRPr="003417E8">
        <w:rPr>
          <w:rFonts w:ascii="Times New Roman" w:hAnsi="Times New Roman" w:cs="Times New Roman"/>
          <w:sz w:val="24"/>
          <w:szCs w:val="20"/>
          <w:lang w:eastAsia="fr-FR"/>
        </w:rPr>
        <w:t>En 6e année : manque de 80 millions de tonnes et offre de 80 millions de tonnes également : le cours se maintient à 1200 soit 1,2 € par kg. Idem années suivantes</w:t>
      </w:r>
      <w:r w:rsidR="003417E8" w:rsidRPr="003417E8">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w:t>
      </w:r>
    </w:p>
    <w:p w:rsidR="003417E8" w:rsidRDefault="003417E8"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notes de calcul et feuilles </w:t>
      </w:r>
      <w:proofErr w:type="spellStart"/>
      <w:r>
        <w:rPr>
          <w:rFonts w:ascii="Times New Roman" w:hAnsi="Times New Roman" w:cs="Times New Roman"/>
          <w:sz w:val="24"/>
          <w:szCs w:val="20"/>
          <w:lang w:eastAsia="fr-FR"/>
        </w:rPr>
        <w:t>excel</w:t>
      </w:r>
      <w:proofErr w:type="spellEnd"/>
      <w:r w:rsidR="00A571E7">
        <w:rPr>
          <w:rStyle w:val="Appelnotedebasdep"/>
          <w:rFonts w:ascii="Times New Roman" w:hAnsi="Times New Roman" w:cs="Times New Roman"/>
          <w:sz w:val="24"/>
          <w:szCs w:val="20"/>
          <w:lang w:eastAsia="fr-FR"/>
        </w:rPr>
        <w:footnoteReference w:id="9"/>
      </w:r>
      <w:r>
        <w:rPr>
          <w:rFonts w:ascii="Times New Roman" w:hAnsi="Times New Roman" w:cs="Times New Roman"/>
          <w:sz w:val="24"/>
          <w:szCs w:val="20"/>
          <w:lang w:eastAsia="fr-FR"/>
        </w:rPr>
        <w:t xml:space="preserve"> sont disponibles pour discussion.</w:t>
      </w:r>
      <w:r w:rsidR="00264DB9">
        <w:rPr>
          <w:rFonts w:ascii="Times New Roman" w:hAnsi="Times New Roman" w:cs="Times New Roman"/>
          <w:sz w:val="24"/>
          <w:szCs w:val="20"/>
          <w:lang w:eastAsia="fr-FR"/>
        </w:rPr>
        <w:t xml:space="preserve"> Les chiffres y sont moins arrondis que la démonstration rapide ci-dessus, il en résulte la présente courbe.</w:t>
      </w:r>
    </w:p>
    <w:p w:rsidR="003417E8" w:rsidRPr="007F74E8" w:rsidRDefault="003417E8"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sidRPr="007F74E8">
        <w:rPr>
          <w:rFonts w:ascii="Times New Roman" w:hAnsi="Times New Roman" w:cs="Times New Roman"/>
          <w:b/>
          <w:sz w:val="24"/>
          <w:szCs w:val="20"/>
          <w:lang w:eastAsia="fr-FR"/>
        </w:rPr>
        <w:t>Tentation de revendre trop de carbone ?</w:t>
      </w:r>
    </w:p>
    <w:p w:rsidR="00DC72FE" w:rsidRDefault="003417E8"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L’expérience anglaise rapportée dans la thèse</w:t>
      </w:r>
      <w:r w:rsidR="008E4C01">
        <w:rPr>
          <w:rStyle w:val="Appelnotedebasdep"/>
          <w:rFonts w:ascii="Times New Roman" w:hAnsi="Times New Roman" w:cs="Times New Roman"/>
          <w:sz w:val="24"/>
          <w:szCs w:val="20"/>
          <w:lang w:eastAsia="fr-FR"/>
        </w:rPr>
        <w:footnoteReference w:id="10"/>
      </w:r>
      <w:r>
        <w:rPr>
          <w:rFonts w:ascii="Times New Roman" w:hAnsi="Times New Roman" w:cs="Times New Roman"/>
          <w:sz w:val="24"/>
          <w:szCs w:val="20"/>
          <w:lang w:eastAsia="fr-FR"/>
        </w:rPr>
        <w:t xml:space="preserve"> de Mathilde Szuba a montré le risque que des personnes </w:t>
      </w:r>
      <w:r w:rsidR="00AA4F3B">
        <w:rPr>
          <w:rFonts w:ascii="Times New Roman" w:hAnsi="Times New Roman" w:cs="Times New Roman"/>
          <w:sz w:val="24"/>
          <w:szCs w:val="20"/>
          <w:lang w:eastAsia="fr-FR"/>
        </w:rPr>
        <w:t>les plus démunies</w:t>
      </w:r>
      <w:r>
        <w:rPr>
          <w:rFonts w:ascii="Times New Roman" w:hAnsi="Times New Roman" w:cs="Times New Roman"/>
          <w:sz w:val="24"/>
          <w:szCs w:val="20"/>
          <w:lang w:eastAsia="fr-FR"/>
        </w:rPr>
        <w:t xml:space="preserve"> vend</w:t>
      </w:r>
      <w:r w:rsidR="007F74E8">
        <w:rPr>
          <w:rFonts w:ascii="Times New Roman" w:hAnsi="Times New Roman" w:cs="Times New Roman"/>
          <w:sz w:val="24"/>
          <w:szCs w:val="20"/>
          <w:lang w:eastAsia="fr-FR"/>
        </w:rPr>
        <w:t>rai</w:t>
      </w:r>
      <w:r>
        <w:rPr>
          <w:rFonts w:ascii="Times New Roman" w:hAnsi="Times New Roman" w:cs="Times New Roman"/>
          <w:sz w:val="24"/>
          <w:szCs w:val="20"/>
          <w:lang w:eastAsia="fr-FR"/>
        </w:rPr>
        <w:t>ent tout leur quota et se trouve</w:t>
      </w:r>
      <w:r w:rsidR="007F74E8">
        <w:rPr>
          <w:rFonts w:ascii="Times New Roman" w:hAnsi="Times New Roman" w:cs="Times New Roman"/>
          <w:sz w:val="24"/>
          <w:szCs w:val="20"/>
          <w:lang w:eastAsia="fr-FR"/>
        </w:rPr>
        <w:t>raie</w:t>
      </w:r>
      <w:r>
        <w:rPr>
          <w:rFonts w:ascii="Times New Roman" w:hAnsi="Times New Roman" w:cs="Times New Roman"/>
          <w:sz w:val="24"/>
          <w:szCs w:val="20"/>
          <w:lang w:eastAsia="fr-FR"/>
        </w:rPr>
        <w:t xml:space="preserve">nt dépourvues quand </w:t>
      </w:r>
      <w:r>
        <w:rPr>
          <w:rFonts w:ascii="Times New Roman" w:hAnsi="Times New Roman" w:cs="Times New Roman"/>
          <w:sz w:val="24"/>
          <w:szCs w:val="20"/>
          <w:lang w:eastAsia="fr-FR"/>
        </w:rPr>
        <w:lastRenderedPageBreak/>
        <w:t>l’hiver arrive (ce risque ne s’est pas avéré mais a été documenté par l</w:t>
      </w:r>
      <w:r w:rsidR="00B8065D">
        <w:rPr>
          <w:rFonts w:ascii="Times New Roman" w:hAnsi="Times New Roman" w:cs="Times New Roman"/>
          <w:sz w:val="24"/>
          <w:szCs w:val="20"/>
          <w:lang w:eastAsia="fr-FR"/>
        </w:rPr>
        <w:t>e</w:t>
      </w:r>
      <w:r>
        <w:rPr>
          <w:rFonts w:ascii="Times New Roman" w:hAnsi="Times New Roman" w:cs="Times New Roman"/>
          <w:sz w:val="24"/>
          <w:szCs w:val="20"/>
          <w:lang w:eastAsia="fr-FR"/>
        </w:rPr>
        <w:t xml:space="preserve"> cabinet McKinsey qui a rendu un rapport critique justifiant l’arrêt de l’expérience de rationnement par carte carbone lancée par le travailliste </w:t>
      </w:r>
      <w:r w:rsidR="009E0B35">
        <w:rPr>
          <w:rFonts w:ascii="Times New Roman" w:hAnsi="Times New Roman" w:cs="Times New Roman"/>
          <w:sz w:val="24"/>
          <w:szCs w:val="20"/>
          <w:lang w:eastAsia="fr-FR"/>
        </w:rPr>
        <w:t xml:space="preserve">David </w:t>
      </w:r>
      <w:proofErr w:type="spellStart"/>
      <w:r>
        <w:rPr>
          <w:rFonts w:ascii="Times New Roman" w:hAnsi="Times New Roman" w:cs="Times New Roman"/>
          <w:sz w:val="24"/>
          <w:szCs w:val="20"/>
          <w:lang w:eastAsia="fr-FR"/>
        </w:rPr>
        <w:t>Milliband</w:t>
      </w:r>
      <w:proofErr w:type="spellEnd"/>
      <w:r>
        <w:rPr>
          <w:rFonts w:ascii="Times New Roman" w:hAnsi="Times New Roman" w:cs="Times New Roman"/>
          <w:sz w:val="24"/>
          <w:szCs w:val="20"/>
          <w:lang w:eastAsia="fr-FR"/>
        </w:rPr>
        <w:t xml:space="preserve"> dans le gouvernement Brown</w:t>
      </w:r>
      <w:r w:rsidR="009E0B35">
        <w:rPr>
          <w:rStyle w:val="Appelnotedebasdep"/>
          <w:rFonts w:ascii="Times New Roman" w:hAnsi="Times New Roman" w:cs="Times New Roman"/>
          <w:sz w:val="24"/>
          <w:szCs w:val="20"/>
          <w:lang w:eastAsia="fr-FR"/>
        </w:rPr>
        <w:footnoteReference w:id="11"/>
      </w:r>
      <w:r>
        <w:rPr>
          <w:rFonts w:ascii="Times New Roman" w:hAnsi="Times New Roman" w:cs="Times New Roman"/>
          <w:sz w:val="24"/>
          <w:szCs w:val="20"/>
          <w:lang w:eastAsia="fr-FR"/>
        </w:rPr>
        <w:t xml:space="preserve">). </w:t>
      </w:r>
    </w:p>
    <w:p w:rsidR="00DC72FE" w:rsidRPr="00DC72FE" w:rsidRDefault="00DC72FE"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sidRPr="00DC72FE">
        <w:rPr>
          <w:rFonts w:ascii="Times New Roman" w:hAnsi="Times New Roman" w:cs="Times New Roman"/>
          <w:sz w:val="24"/>
          <w:szCs w:val="20"/>
          <w:lang w:eastAsia="fr-FR"/>
        </w:rPr>
        <w:t>Pour éviter que des personnes modestes aient trop vendu de leur quota et se trouvent dans l’incapacité d’en racheter s’il en manque en fin d’exercice, le mécanisme de compte carbone propose de garder libre la moitié de la reprise et ne payer que la moitié</w:t>
      </w:r>
      <w:r w:rsidR="00264DB9">
        <w:rPr>
          <w:rFonts w:ascii="Times New Roman" w:hAnsi="Times New Roman" w:cs="Times New Roman"/>
          <w:sz w:val="24"/>
          <w:szCs w:val="20"/>
          <w:lang w:eastAsia="fr-FR"/>
        </w:rPr>
        <w:t xml:space="preserve"> le jour de la vente</w:t>
      </w:r>
      <w:r w:rsidRPr="00DC72FE">
        <w:rPr>
          <w:rFonts w:ascii="Times New Roman" w:hAnsi="Times New Roman" w:cs="Times New Roman"/>
          <w:sz w:val="24"/>
          <w:szCs w:val="20"/>
          <w:lang w:eastAsia="fr-FR"/>
        </w:rPr>
        <w:t xml:space="preserve">. Le solde resterait en compte comme mis au coffre en attente d’éventuel besoin. Si besoin, </w:t>
      </w:r>
      <w:r w:rsidR="00264DB9">
        <w:rPr>
          <w:rFonts w:ascii="Times New Roman" w:hAnsi="Times New Roman" w:cs="Times New Roman"/>
          <w:sz w:val="24"/>
          <w:szCs w:val="20"/>
          <w:lang w:eastAsia="fr-FR"/>
        </w:rPr>
        <w:t>ces personnes</w:t>
      </w:r>
      <w:r w:rsidRPr="00DC72FE">
        <w:rPr>
          <w:rFonts w:ascii="Times New Roman" w:hAnsi="Times New Roman" w:cs="Times New Roman"/>
          <w:sz w:val="24"/>
          <w:szCs w:val="20"/>
          <w:lang w:eastAsia="fr-FR"/>
        </w:rPr>
        <w:t xml:space="preserve"> n’auraient pas besoin de dépenser des euros</w:t>
      </w:r>
      <w:r w:rsidR="00264DB9">
        <w:rPr>
          <w:rFonts w:ascii="Times New Roman" w:hAnsi="Times New Roman" w:cs="Times New Roman"/>
          <w:sz w:val="24"/>
          <w:szCs w:val="20"/>
          <w:lang w:eastAsia="fr-FR"/>
        </w:rPr>
        <w:t xml:space="preserve"> pour des suppléments de quota</w:t>
      </w:r>
      <w:r w:rsidRPr="00DC72FE">
        <w:rPr>
          <w:rFonts w:ascii="Times New Roman" w:hAnsi="Times New Roman" w:cs="Times New Roman"/>
          <w:sz w:val="24"/>
          <w:szCs w:val="20"/>
          <w:lang w:eastAsia="fr-FR"/>
        </w:rPr>
        <w:t>. Le règlement final leur serait assuré en même temps que l’attribution du nouveau quota annuel.</w:t>
      </w:r>
    </w:p>
    <w:p w:rsidR="00E8534A" w:rsidRPr="00E8534A" w:rsidRDefault="00E8534A"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sidRPr="00E8534A">
        <w:rPr>
          <w:rFonts w:ascii="Times New Roman" w:hAnsi="Times New Roman" w:cs="Times New Roman"/>
          <w:b/>
          <w:sz w:val="24"/>
          <w:szCs w:val="20"/>
          <w:lang w:eastAsia="fr-FR"/>
        </w:rPr>
        <w:t>Imbriquer rationnement et étiquetage</w:t>
      </w:r>
    </w:p>
    <w:p w:rsidR="00E8534A" w:rsidRDefault="00E8534A"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Pour les entreprises, il est annoncé que la clé du système est le rationnement progressif à 6% par an de tous les acteurs de l’économie de consommation, les dirigeants apprécient de ne pas être pointés comme seuls responsables du réchauffement.</w:t>
      </w:r>
    </w:p>
    <w:p w:rsidR="00E8534A" w:rsidRDefault="00E8534A"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Pour les citoyens, après avoir rappelé que la réduction annuelle de 6% n’est qu’un steak de moins par </w:t>
      </w:r>
      <w:r w:rsidR="009E0B35">
        <w:rPr>
          <w:rFonts w:ascii="Times New Roman" w:hAnsi="Times New Roman" w:cs="Times New Roman"/>
          <w:sz w:val="24"/>
          <w:szCs w:val="20"/>
          <w:lang w:eastAsia="fr-FR"/>
        </w:rPr>
        <w:t>semaine</w:t>
      </w:r>
      <w:r>
        <w:rPr>
          <w:rFonts w:ascii="Times New Roman" w:hAnsi="Times New Roman" w:cs="Times New Roman"/>
          <w:sz w:val="24"/>
          <w:szCs w:val="20"/>
          <w:lang w:eastAsia="fr-FR"/>
        </w:rPr>
        <w:t xml:space="preserve"> et ne concerne que les plus riches, ils comprennent vite que la réduction du carbone concerne </w:t>
      </w:r>
      <w:r w:rsidR="00DC72FE">
        <w:rPr>
          <w:rFonts w:ascii="Times New Roman" w:hAnsi="Times New Roman" w:cs="Times New Roman"/>
          <w:sz w:val="24"/>
          <w:szCs w:val="20"/>
          <w:lang w:eastAsia="fr-FR"/>
        </w:rPr>
        <w:t xml:space="preserve">plutôt </w:t>
      </w:r>
      <w:r>
        <w:rPr>
          <w:rFonts w:ascii="Times New Roman" w:hAnsi="Times New Roman" w:cs="Times New Roman"/>
          <w:sz w:val="24"/>
          <w:szCs w:val="20"/>
          <w:lang w:eastAsia="fr-FR"/>
        </w:rPr>
        <w:t>les entreprises : l’étiquetage permettra de sélectionner les produits et services les moins carbonés, ce qui obligera les entreprises à décarboner leurs productions et activités. Ce sont souvent des activités accessoires qui génèrent des gaz à effet de serre, la publicité, les emballages, les voitures de fonction. Les entreprises commencent déjà à spécialiser des</w:t>
      </w:r>
      <w:r w:rsidR="00264DB9">
        <w:rPr>
          <w:rFonts w:ascii="Times New Roman" w:hAnsi="Times New Roman" w:cs="Times New Roman"/>
          <w:sz w:val="24"/>
          <w:szCs w:val="20"/>
          <w:lang w:eastAsia="fr-FR"/>
        </w:rPr>
        <w:t xml:space="preserve"> salariés sur des</w:t>
      </w:r>
      <w:r>
        <w:rPr>
          <w:rFonts w:ascii="Times New Roman" w:hAnsi="Times New Roman" w:cs="Times New Roman"/>
          <w:sz w:val="24"/>
          <w:szCs w:val="20"/>
          <w:lang w:eastAsia="fr-FR"/>
        </w:rPr>
        <w:t xml:space="preserve"> compétences en gaz à effet de serre ; elles vont remplacer les cost-killers par des </w:t>
      </w:r>
      <w:proofErr w:type="spellStart"/>
      <w:r>
        <w:rPr>
          <w:rFonts w:ascii="Times New Roman" w:hAnsi="Times New Roman" w:cs="Times New Roman"/>
          <w:sz w:val="24"/>
          <w:szCs w:val="20"/>
          <w:lang w:eastAsia="fr-FR"/>
        </w:rPr>
        <w:t>carbon</w:t>
      </w:r>
      <w:proofErr w:type="spellEnd"/>
      <w:r>
        <w:rPr>
          <w:rFonts w:ascii="Times New Roman" w:hAnsi="Times New Roman" w:cs="Times New Roman"/>
          <w:sz w:val="24"/>
          <w:szCs w:val="20"/>
          <w:lang w:eastAsia="fr-FR"/>
        </w:rPr>
        <w:t xml:space="preserve">-killers… </w:t>
      </w:r>
    </w:p>
    <w:p w:rsidR="00E8534A" w:rsidRPr="006A18DE" w:rsidRDefault="00E8534A"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Pr>
          <w:rFonts w:ascii="Times New Roman" w:hAnsi="Times New Roman" w:cs="Times New Roman"/>
          <w:sz w:val="24"/>
          <w:szCs w:val="20"/>
          <w:lang w:eastAsia="fr-FR"/>
        </w:rPr>
        <w:t xml:space="preserve">Les services publics n’émettent pas de factures à leurs justiciables et bénéficiaires : la stimulation de leur descente carbone passera par un vecteur complémentaire, chaque citoyen recevra son relevé mensuel de points carbone Ͼ incluant </w:t>
      </w:r>
      <w:proofErr w:type="gramStart"/>
      <w:r>
        <w:rPr>
          <w:rFonts w:ascii="Times New Roman" w:hAnsi="Times New Roman" w:cs="Times New Roman"/>
          <w:sz w:val="24"/>
          <w:szCs w:val="20"/>
          <w:lang w:eastAsia="fr-FR"/>
        </w:rPr>
        <w:t xml:space="preserve">les </w:t>
      </w:r>
      <w:r w:rsidR="009939BA">
        <w:rPr>
          <w:rFonts w:ascii="Times New Roman" w:hAnsi="Times New Roman" w:cs="Times New Roman"/>
          <w:sz w:val="24"/>
          <w:szCs w:val="20"/>
          <w:lang w:eastAsia="fr-FR"/>
        </w:rPr>
        <w:t>empreintes carbone</w:t>
      </w:r>
      <w:proofErr w:type="gramEnd"/>
      <w:r w:rsidR="009939BA">
        <w:rPr>
          <w:rFonts w:ascii="Times New Roman" w:hAnsi="Times New Roman" w:cs="Times New Roman"/>
          <w:sz w:val="24"/>
          <w:szCs w:val="20"/>
          <w:lang w:eastAsia="fr-FR"/>
        </w:rPr>
        <w:t xml:space="preserve"> de chaque service public. L’ensemble des services publics français génèrent 100 des 604 millions de tonnes de </w:t>
      </w:r>
      <w:r w:rsidR="009939BA" w:rsidRPr="00BC01E4">
        <w:rPr>
          <w:rFonts w:ascii="Times New Roman" w:hAnsi="Times New Roman" w:cs="Times New Roman"/>
          <w:sz w:val="24"/>
          <w:szCs w:val="20"/>
          <w:lang w:eastAsia="fr-FR"/>
        </w:rPr>
        <w:t>CO</w:t>
      </w:r>
      <w:r w:rsidR="009939BA" w:rsidRPr="009939BA">
        <w:rPr>
          <w:rFonts w:ascii="Times New Roman" w:hAnsi="Times New Roman" w:cs="Times New Roman"/>
          <w:sz w:val="24"/>
          <w:szCs w:val="20"/>
          <w:vertAlign w:val="subscript"/>
          <w:lang w:eastAsia="fr-FR"/>
        </w:rPr>
        <w:t>2</w:t>
      </w:r>
      <w:r w:rsidR="009939BA" w:rsidRPr="00BC01E4">
        <w:rPr>
          <w:rFonts w:ascii="Times New Roman" w:hAnsi="Times New Roman" w:cs="Times New Roman"/>
          <w:sz w:val="24"/>
          <w:szCs w:val="20"/>
          <w:lang w:eastAsia="fr-FR"/>
        </w:rPr>
        <w:t>e</w:t>
      </w:r>
      <w:r w:rsidR="009939BA">
        <w:rPr>
          <w:rFonts w:ascii="Times New Roman" w:hAnsi="Times New Roman" w:cs="Times New Roman"/>
          <w:sz w:val="24"/>
          <w:szCs w:val="20"/>
          <w:lang w:eastAsia="fr-FR"/>
        </w:rPr>
        <w:t xml:space="preserve"> soit 1500 kg/p</w:t>
      </w:r>
      <w:r w:rsidR="006A18DE">
        <w:rPr>
          <w:rFonts w:ascii="Times New Roman" w:hAnsi="Times New Roman" w:cs="Times New Roman"/>
          <w:sz w:val="24"/>
          <w:szCs w:val="20"/>
          <w:lang w:eastAsia="fr-FR"/>
        </w:rPr>
        <w:t>ersonne</w:t>
      </w:r>
      <w:r w:rsidR="009939BA">
        <w:rPr>
          <w:rFonts w:ascii="Times New Roman" w:hAnsi="Times New Roman" w:cs="Times New Roman"/>
          <w:sz w:val="24"/>
          <w:szCs w:val="20"/>
          <w:lang w:eastAsia="fr-FR"/>
        </w:rPr>
        <w:t xml:space="preserve">/an ou 125 kg par mois : </w:t>
      </w:r>
      <w:r w:rsidR="006A18DE">
        <w:rPr>
          <w:rFonts w:ascii="Times New Roman" w:hAnsi="Times New Roman" w:cs="Times New Roman"/>
          <w:sz w:val="24"/>
          <w:szCs w:val="20"/>
          <w:lang w:eastAsia="fr-FR"/>
        </w:rPr>
        <w:t>15 kg pour les communes, 4 pour les départements, 2 pour les régions, 20 pour le ministère de l’intérieur et 35 pour les armées… l’affichage pousse les responsables à faire tous les efforts nécessaires pour respecter le 6% annuel de tous les français.</w:t>
      </w:r>
    </w:p>
    <w:p w:rsidR="006A18DE" w:rsidRPr="006A18DE" w:rsidRDefault="006A18DE"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sidRPr="006A18DE">
        <w:rPr>
          <w:rFonts w:ascii="Times New Roman" w:hAnsi="Times New Roman" w:cs="Times New Roman"/>
          <w:b/>
          <w:sz w:val="24"/>
          <w:szCs w:val="20"/>
          <w:lang w:eastAsia="fr-FR"/>
        </w:rPr>
        <w:t>Un étiquetage difficile à mettre en œuvre ?</w:t>
      </w:r>
    </w:p>
    <w:p w:rsidR="00F90318" w:rsidRDefault="006A18DE"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La transparence des contenus carbone sera possible grâce au registre carbone dans chaque entreprise autant que la comptabilité est obligatoire : l’entreprise reçoit les factures de ses fournisseurs</w:t>
      </w:r>
      <w:r w:rsidR="00F22358">
        <w:rPr>
          <w:rFonts w:ascii="Times New Roman" w:hAnsi="Times New Roman" w:cs="Times New Roman"/>
          <w:sz w:val="24"/>
          <w:szCs w:val="20"/>
          <w:lang w:eastAsia="fr-FR"/>
        </w:rPr>
        <w:t xml:space="preserve">, additionne </w:t>
      </w:r>
      <w:proofErr w:type="gramStart"/>
      <w:r w:rsidR="00F22358">
        <w:rPr>
          <w:rFonts w:ascii="Times New Roman" w:hAnsi="Times New Roman" w:cs="Times New Roman"/>
          <w:sz w:val="24"/>
          <w:szCs w:val="20"/>
          <w:lang w:eastAsia="fr-FR"/>
        </w:rPr>
        <w:t>les contenus carbone</w:t>
      </w:r>
      <w:proofErr w:type="gramEnd"/>
      <w:r w:rsidR="00F22358">
        <w:rPr>
          <w:rFonts w:ascii="Times New Roman" w:hAnsi="Times New Roman" w:cs="Times New Roman"/>
          <w:sz w:val="24"/>
          <w:szCs w:val="20"/>
          <w:lang w:eastAsia="fr-FR"/>
        </w:rPr>
        <w:t>, répartit sur ses produits</w:t>
      </w:r>
      <w:r w:rsidR="00EF667C">
        <w:rPr>
          <w:rFonts w:ascii="Times New Roman" w:hAnsi="Times New Roman" w:cs="Times New Roman"/>
          <w:sz w:val="24"/>
          <w:szCs w:val="20"/>
          <w:lang w:eastAsia="fr-FR"/>
        </w:rPr>
        <w:t xml:space="preserve">, élabore les factures en fonction des contenus de ses produits ou par simple proportionnalité au prix. En fin d’exercice l’entreprise doit vérifier l’équilibre entre entrées et sorties, ce qui garantit contre la fraude. Des comptes d’étalement sont ouverts pour les contenus carbone des investissements qui ne peuvent pas être imputés sur un seul exercice. Les éditeurs de logiciels comptables sont en train d’élaborer </w:t>
      </w:r>
      <w:proofErr w:type="gramStart"/>
      <w:r w:rsidR="00EF667C">
        <w:rPr>
          <w:rFonts w:ascii="Times New Roman" w:hAnsi="Times New Roman" w:cs="Times New Roman"/>
          <w:sz w:val="24"/>
          <w:szCs w:val="20"/>
          <w:lang w:eastAsia="fr-FR"/>
        </w:rPr>
        <w:t>ces registres carbone</w:t>
      </w:r>
      <w:proofErr w:type="gramEnd"/>
      <w:r w:rsidR="00EF667C">
        <w:rPr>
          <w:rFonts w:ascii="Times New Roman" w:hAnsi="Times New Roman" w:cs="Times New Roman"/>
          <w:sz w:val="24"/>
          <w:szCs w:val="20"/>
          <w:lang w:eastAsia="fr-FR"/>
        </w:rPr>
        <w:t xml:space="preserve">. Le travail sera facilité par l’obligation de factures </w:t>
      </w:r>
      <w:r w:rsidR="00EF667C">
        <w:rPr>
          <w:rFonts w:ascii="Times New Roman" w:hAnsi="Times New Roman" w:cs="Times New Roman"/>
          <w:sz w:val="24"/>
          <w:szCs w:val="20"/>
          <w:lang w:eastAsia="fr-FR"/>
        </w:rPr>
        <w:lastRenderedPageBreak/>
        <w:t>électroniques</w:t>
      </w:r>
      <w:r w:rsidR="00EF667C">
        <w:rPr>
          <w:rStyle w:val="Appelnotedebasdep"/>
          <w:rFonts w:ascii="Times New Roman" w:hAnsi="Times New Roman" w:cs="Times New Roman"/>
          <w:sz w:val="24"/>
          <w:szCs w:val="20"/>
          <w:lang w:eastAsia="fr-FR"/>
        </w:rPr>
        <w:footnoteReference w:id="12"/>
      </w:r>
      <w:r w:rsidR="00EF667C">
        <w:rPr>
          <w:rFonts w:ascii="Times New Roman" w:hAnsi="Times New Roman" w:cs="Times New Roman"/>
          <w:sz w:val="24"/>
          <w:szCs w:val="20"/>
          <w:lang w:eastAsia="fr-FR"/>
        </w:rPr>
        <w:t xml:space="preserve"> qui viennent déposer les valeurs dans les bonnes cases d</w:t>
      </w:r>
      <w:r w:rsidR="00DC72FE">
        <w:rPr>
          <w:rFonts w:ascii="Times New Roman" w:hAnsi="Times New Roman" w:cs="Times New Roman"/>
          <w:sz w:val="24"/>
          <w:szCs w:val="20"/>
          <w:lang w:eastAsia="fr-FR"/>
        </w:rPr>
        <w:t xml:space="preserve">u tableau </w:t>
      </w:r>
      <w:r w:rsidR="00EF667C">
        <w:rPr>
          <w:rFonts w:ascii="Times New Roman" w:hAnsi="Times New Roman" w:cs="Times New Roman"/>
          <w:sz w:val="24"/>
          <w:szCs w:val="20"/>
          <w:lang w:eastAsia="fr-FR"/>
        </w:rPr>
        <w:t>informatique.</w:t>
      </w:r>
      <w:r>
        <w:rPr>
          <w:rFonts w:ascii="Times New Roman" w:hAnsi="Times New Roman" w:cs="Times New Roman"/>
          <w:sz w:val="24"/>
          <w:szCs w:val="20"/>
          <w:lang w:eastAsia="fr-FR"/>
        </w:rPr>
        <w:t xml:space="preserve"> </w:t>
      </w:r>
    </w:p>
    <w:p w:rsidR="006A18DE" w:rsidRDefault="00F90318"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Pour éviter les éventuels contentieux sur les contenus carbone, il est possible d’assurer un contrôle par des experts-certificateurs, comme dans le domaine du bio où les organismes agréés engagent leur responsabilité sur le contrôle des producteurs.</w:t>
      </w:r>
      <w:r w:rsidR="006A18DE">
        <w:rPr>
          <w:rFonts w:ascii="Times New Roman" w:hAnsi="Times New Roman" w:cs="Times New Roman"/>
          <w:sz w:val="24"/>
          <w:szCs w:val="20"/>
          <w:lang w:eastAsia="fr-FR"/>
        </w:rPr>
        <w:t xml:space="preserve"> </w:t>
      </w:r>
    </w:p>
    <w:p w:rsidR="00EF667C" w:rsidRDefault="00EF667C"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Pour les contenus importés, il est admis de faire appel à la nomenclature douanière</w:t>
      </w:r>
      <w:r w:rsidR="00887321">
        <w:rPr>
          <w:rStyle w:val="Appelnotedebasdep"/>
          <w:rFonts w:ascii="Times New Roman" w:hAnsi="Times New Roman" w:cs="Times New Roman"/>
          <w:sz w:val="24"/>
          <w:szCs w:val="20"/>
          <w:lang w:eastAsia="fr-FR"/>
        </w:rPr>
        <w:footnoteReference w:id="13"/>
      </w:r>
      <w:r>
        <w:rPr>
          <w:rFonts w:ascii="Times New Roman" w:hAnsi="Times New Roman" w:cs="Times New Roman"/>
          <w:sz w:val="24"/>
          <w:szCs w:val="20"/>
          <w:lang w:eastAsia="fr-FR"/>
        </w:rPr>
        <w:t xml:space="preserve">. Ce registre est tenu à la Commission européenne par la direction </w:t>
      </w:r>
      <w:proofErr w:type="spellStart"/>
      <w:r>
        <w:rPr>
          <w:rFonts w:ascii="Times New Roman" w:hAnsi="Times New Roman" w:cs="Times New Roman"/>
          <w:sz w:val="24"/>
          <w:szCs w:val="20"/>
          <w:lang w:eastAsia="fr-FR"/>
        </w:rPr>
        <w:t>Taxud</w:t>
      </w:r>
      <w:proofErr w:type="spellEnd"/>
      <w:r>
        <w:rPr>
          <w:rFonts w:ascii="Times New Roman" w:hAnsi="Times New Roman" w:cs="Times New Roman"/>
          <w:sz w:val="24"/>
          <w:szCs w:val="20"/>
          <w:lang w:eastAsia="fr-FR"/>
        </w:rPr>
        <w:t xml:space="preserve"> et apporte la même normalisation des produits importés et exportés des 27 États Membres. Leur contenu carbone est défini à l’unité ou à la tonne. Ces valeurs de contenus carbone sont proposées en valeur forte pour stimuler les importateurs à rechercher des produits et services moins carbonés</w:t>
      </w:r>
      <w:r w:rsidR="00B65487">
        <w:rPr>
          <w:rFonts w:ascii="Times New Roman" w:hAnsi="Times New Roman" w:cs="Times New Roman"/>
          <w:sz w:val="24"/>
          <w:szCs w:val="20"/>
          <w:lang w:eastAsia="fr-FR"/>
        </w:rPr>
        <w:t>. Comme dans la réglementation du bâtiment</w:t>
      </w:r>
      <w:r w:rsidR="00B65487">
        <w:rPr>
          <w:rStyle w:val="Appelnotedebasdep"/>
          <w:rFonts w:ascii="Times New Roman" w:hAnsi="Times New Roman" w:cs="Times New Roman"/>
          <w:sz w:val="24"/>
          <w:szCs w:val="20"/>
          <w:lang w:eastAsia="fr-FR"/>
        </w:rPr>
        <w:footnoteReference w:id="14"/>
      </w:r>
      <w:r w:rsidR="00B65487">
        <w:rPr>
          <w:rFonts w:ascii="Times New Roman" w:hAnsi="Times New Roman" w:cs="Times New Roman"/>
          <w:sz w:val="24"/>
          <w:szCs w:val="20"/>
          <w:lang w:eastAsia="fr-FR"/>
        </w:rPr>
        <w:t xml:space="preserve">, un fournisseur peut soumettre une note de calcul pour montrer un moindre contenu carbone que la nomenclature, cette note est alors vérifiée par les experts de l’agence carbone (ou de l’Ademe si défini comme tel). </w:t>
      </w:r>
    </w:p>
    <w:p w:rsidR="008F3D0E" w:rsidRDefault="008F3D0E"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Lors de la première année de mise en œuvre du compte carbone, où les factures ne seront pas complètes, il est proposé de commencer l’étiquetage en magasins à partir des valeurs approchées de l’ADEME, en proposant aux entreprises d’apporter leurs valeurs aussi vite qu’elles le pourront</w:t>
      </w:r>
      <w:r w:rsidR="00887321">
        <w:rPr>
          <w:rFonts w:ascii="Times New Roman" w:hAnsi="Times New Roman" w:cs="Times New Roman"/>
          <w:sz w:val="24"/>
          <w:szCs w:val="20"/>
          <w:lang w:eastAsia="fr-FR"/>
        </w:rPr>
        <w:t>, ce qui les favorisera en montrant leurs efforts de décarbonation</w:t>
      </w:r>
      <w:r>
        <w:rPr>
          <w:rFonts w:ascii="Times New Roman" w:hAnsi="Times New Roman" w:cs="Times New Roman"/>
          <w:sz w:val="24"/>
          <w:szCs w:val="20"/>
          <w:lang w:eastAsia="fr-FR"/>
        </w:rPr>
        <w:t xml:space="preserve">. </w:t>
      </w:r>
      <w:r w:rsidR="000C1955">
        <w:rPr>
          <w:rFonts w:ascii="Times New Roman" w:hAnsi="Times New Roman" w:cs="Times New Roman"/>
          <w:sz w:val="24"/>
          <w:szCs w:val="20"/>
          <w:lang w:eastAsia="fr-FR"/>
        </w:rPr>
        <w:t>On estime cette durée de mise en route à moins d’une année.</w:t>
      </w:r>
    </w:p>
    <w:p w:rsidR="008F3D0E" w:rsidRDefault="00F90318"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entreprises </w:t>
      </w:r>
      <w:proofErr w:type="spellStart"/>
      <w:r>
        <w:rPr>
          <w:rFonts w:ascii="Times New Roman" w:hAnsi="Times New Roman" w:cs="Times New Roman"/>
          <w:sz w:val="24"/>
          <w:szCs w:val="20"/>
          <w:lang w:eastAsia="fr-FR"/>
        </w:rPr>
        <w:t>accepteront</w:t>
      </w:r>
      <w:r w:rsidR="000C1955">
        <w:rPr>
          <w:rFonts w:ascii="Times New Roman" w:hAnsi="Times New Roman" w:cs="Times New Roman"/>
          <w:sz w:val="24"/>
          <w:szCs w:val="20"/>
          <w:lang w:eastAsia="fr-FR"/>
        </w:rPr>
        <w:t>-</w:t>
      </w:r>
      <w:r>
        <w:rPr>
          <w:rFonts w:ascii="Times New Roman" w:hAnsi="Times New Roman" w:cs="Times New Roman"/>
          <w:sz w:val="24"/>
          <w:szCs w:val="20"/>
          <w:lang w:eastAsia="fr-FR"/>
        </w:rPr>
        <w:t>elles</w:t>
      </w:r>
      <w:proofErr w:type="spellEnd"/>
      <w:r>
        <w:rPr>
          <w:rFonts w:ascii="Times New Roman" w:hAnsi="Times New Roman" w:cs="Times New Roman"/>
          <w:sz w:val="24"/>
          <w:szCs w:val="20"/>
          <w:lang w:eastAsia="fr-FR"/>
        </w:rPr>
        <w:t xml:space="preserve"> de consacrer un peu de temps à leur registre carbone ? </w:t>
      </w:r>
      <w:r w:rsidR="000C1955" w:rsidRPr="00AA4F3B">
        <w:rPr>
          <w:rFonts w:ascii="Times New Roman" w:hAnsi="Times New Roman" w:cs="Times New Roman"/>
          <w:b/>
          <w:sz w:val="24"/>
          <w:szCs w:val="20"/>
          <w:lang w:eastAsia="fr-FR"/>
        </w:rPr>
        <w:t>N</w:t>
      </w:r>
      <w:r w:rsidRPr="00AA4F3B">
        <w:rPr>
          <w:rFonts w:ascii="Times New Roman" w:hAnsi="Times New Roman" w:cs="Times New Roman"/>
          <w:b/>
          <w:sz w:val="24"/>
          <w:szCs w:val="20"/>
          <w:lang w:eastAsia="fr-FR"/>
        </w:rPr>
        <w:t>on</w:t>
      </w:r>
      <w:r>
        <w:rPr>
          <w:rFonts w:ascii="Times New Roman" w:hAnsi="Times New Roman" w:cs="Times New Roman"/>
          <w:sz w:val="24"/>
          <w:szCs w:val="20"/>
          <w:lang w:eastAsia="fr-FR"/>
        </w:rPr>
        <w:t xml:space="preserve">, s’il n’y a pas une pression par les consommateurs. La lenteur de mise en œuvre du Nutriscore est typique des freinages des entreprises quand il n’y a pas une obligation de la part des consommateurs : c’est la force du mécanisme du compte carbone que d’imposer l’étiquetage à 100% des produits et services par 100% des consommateurs du pays. Autrement dit, il faut d’abord obtenir l’accord des citoyens pour lancer </w:t>
      </w:r>
      <w:r w:rsidR="0086084E">
        <w:rPr>
          <w:rFonts w:ascii="Times New Roman" w:hAnsi="Times New Roman" w:cs="Times New Roman"/>
          <w:sz w:val="24"/>
          <w:szCs w:val="20"/>
          <w:lang w:eastAsia="fr-FR"/>
        </w:rPr>
        <w:t>le mécanisme de réduction des gaz à effet de serre pour que les entreprises soient contraintes de suivre leur carbone.</w:t>
      </w:r>
    </w:p>
    <w:p w:rsidR="0086084E" w:rsidRPr="0086084E" w:rsidRDefault="0086084E"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sidRPr="0086084E">
        <w:rPr>
          <w:rFonts w:ascii="Times New Roman" w:hAnsi="Times New Roman" w:cs="Times New Roman"/>
          <w:b/>
          <w:sz w:val="24"/>
          <w:szCs w:val="20"/>
          <w:lang w:eastAsia="fr-FR"/>
        </w:rPr>
        <w:t>Répondre aux objections courantes</w:t>
      </w:r>
    </w:p>
    <w:p w:rsidR="0086084E" w:rsidRDefault="0086084E" w:rsidP="00DB6EA2">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alliés du compte carbone reçoivent de bonnes questions et portent en ligne les résumés des réponses, sur </w:t>
      </w:r>
      <w:hyperlink r:id="rId9" w:history="1">
        <w:r w:rsidRPr="00EA01EE">
          <w:rPr>
            <w:rStyle w:val="Lienhypertexte"/>
            <w:rFonts w:ascii="Times New Roman" w:hAnsi="Times New Roman" w:cs="Times New Roman"/>
            <w:sz w:val="24"/>
            <w:szCs w:val="20"/>
            <w:lang w:eastAsia="fr-FR"/>
          </w:rPr>
          <w:t>https://comptecarbone.cc/faq</w:t>
        </w:r>
      </w:hyperlink>
      <w:r>
        <w:rPr>
          <w:rFonts w:ascii="Times New Roman" w:hAnsi="Times New Roman" w:cs="Times New Roman"/>
          <w:sz w:val="24"/>
          <w:szCs w:val="20"/>
          <w:lang w:eastAsia="fr-FR"/>
        </w:rPr>
        <w:t xml:space="preserve"> avec 15 objections principales et sur </w:t>
      </w:r>
      <w:hyperlink r:id="rId10" w:history="1">
        <w:r w:rsidRPr="00EA01EE">
          <w:rPr>
            <w:rStyle w:val="Lienhypertexte"/>
            <w:rFonts w:ascii="Times New Roman" w:hAnsi="Times New Roman" w:cs="Times New Roman"/>
            <w:sz w:val="24"/>
            <w:szCs w:val="20"/>
            <w:lang w:eastAsia="fr-FR"/>
          </w:rPr>
          <w:t>https://www.agencecarbone.fr/objections</w:t>
        </w:r>
      </w:hyperlink>
      <w:r>
        <w:rPr>
          <w:rFonts w:ascii="Times New Roman" w:hAnsi="Times New Roman" w:cs="Times New Roman"/>
          <w:sz w:val="24"/>
          <w:szCs w:val="20"/>
          <w:lang w:eastAsia="fr-FR"/>
        </w:rPr>
        <w:t xml:space="preserve"> avec une cinquantaine de questions. </w:t>
      </w:r>
    </w:p>
    <w:p w:rsidR="0086084E" w:rsidRDefault="0086084E"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Y aura-t-il incertitude sur les taux de réduction annuelle de la dotation ? </w:t>
      </w:r>
      <w:r w:rsidR="00CE24A3">
        <w:rPr>
          <w:rFonts w:ascii="Times New Roman" w:hAnsi="Times New Roman" w:cs="Times New Roman"/>
          <w:sz w:val="24"/>
          <w:szCs w:val="20"/>
          <w:lang w:eastAsia="fr-FR"/>
        </w:rPr>
        <w:t>L</w:t>
      </w:r>
      <w:r>
        <w:rPr>
          <w:rFonts w:ascii="Times New Roman" w:hAnsi="Times New Roman" w:cs="Times New Roman"/>
          <w:sz w:val="24"/>
          <w:szCs w:val="20"/>
          <w:lang w:eastAsia="fr-FR"/>
        </w:rPr>
        <w:t xml:space="preserve">e taux de 6% est calculé pour apporter en 30 ans le passage de 9t à 2t, il n’est pas prévu de le faire varier, c’est </w:t>
      </w:r>
      <w:r>
        <w:rPr>
          <w:rFonts w:ascii="Times New Roman" w:hAnsi="Times New Roman" w:cs="Times New Roman"/>
          <w:sz w:val="24"/>
          <w:szCs w:val="20"/>
          <w:lang w:eastAsia="fr-FR"/>
        </w:rPr>
        <w:lastRenderedPageBreak/>
        <w:t>important</w:t>
      </w:r>
      <w:r w:rsidR="00573F80">
        <w:rPr>
          <w:rFonts w:ascii="Times New Roman" w:hAnsi="Times New Roman" w:cs="Times New Roman"/>
          <w:sz w:val="24"/>
          <w:szCs w:val="20"/>
          <w:lang w:eastAsia="fr-FR"/>
        </w:rPr>
        <w:t xml:space="preserve"> pour la prévisibilité et</w:t>
      </w:r>
      <w:r>
        <w:rPr>
          <w:rFonts w:ascii="Times New Roman" w:hAnsi="Times New Roman" w:cs="Times New Roman"/>
          <w:sz w:val="24"/>
          <w:szCs w:val="20"/>
          <w:lang w:eastAsia="fr-FR"/>
        </w:rPr>
        <w:t xml:space="preserve"> pour les calculs d’étalement des achats durables et pour la stabilité des calculs.</w:t>
      </w:r>
    </w:p>
    <w:p w:rsidR="0086084E" w:rsidRDefault="0086084E"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Prend-on en compte la totalité de l’empreinte carbone du pays ? </w:t>
      </w:r>
      <w:r w:rsidR="00CE24A3">
        <w:rPr>
          <w:rFonts w:ascii="Times New Roman" w:hAnsi="Times New Roman" w:cs="Times New Roman"/>
          <w:sz w:val="24"/>
          <w:szCs w:val="20"/>
          <w:lang w:eastAsia="fr-FR"/>
        </w:rPr>
        <w:t>O</w:t>
      </w:r>
      <w:r>
        <w:rPr>
          <w:rFonts w:ascii="Times New Roman" w:hAnsi="Times New Roman" w:cs="Times New Roman"/>
          <w:sz w:val="24"/>
          <w:szCs w:val="20"/>
          <w:lang w:eastAsia="fr-FR"/>
        </w:rPr>
        <w:t>ui, en particulier sont intégrés dans les 9000 Ͼ annuels les contenus des services publics, actuellement évalués à 1500/an. La masse de points carbone à répartir est bien le montant de 6</w:t>
      </w:r>
      <w:r w:rsidR="000F376B">
        <w:rPr>
          <w:rFonts w:ascii="Times New Roman" w:hAnsi="Times New Roman" w:cs="Times New Roman"/>
          <w:sz w:val="24"/>
          <w:szCs w:val="20"/>
          <w:lang w:eastAsia="fr-FR"/>
        </w:rPr>
        <w:t>23</w:t>
      </w:r>
      <w:r>
        <w:rPr>
          <w:rFonts w:ascii="Times New Roman" w:hAnsi="Times New Roman" w:cs="Times New Roman"/>
          <w:sz w:val="24"/>
          <w:szCs w:val="20"/>
          <w:lang w:eastAsia="fr-FR"/>
        </w:rPr>
        <w:t xml:space="preserve"> millions de tonnes évalué par le Haut Conseil pour le Climat. Cette masse monétaire de 6</w:t>
      </w:r>
      <w:r w:rsidR="000F376B">
        <w:rPr>
          <w:rFonts w:ascii="Times New Roman" w:hAnsi="Times New Roman" w:cs="Times New Roman"/>
          <w:sz w:val="24"/>
          <w:szCs w:val="20"/>
          <w:lang w:eastAsia="fr-FR"/>
        </w:rPr>
        <w:t>23</w:t>
      </w:r>
      <w:r>
        <w:rPr>
          <w:rFonts w:ascii="Times New Roman" w:hAnsi="Times New Roman" w:cs="Times New Roman"/>
          <w:sz w:val="24"/>
          <w:szCs w:val="20"/>
          <w:lang w:eastAsia="fr-FR"/>
        </w:rPr>
        <w:t xml:space="preserve"> </w:t>
      </w:r>
      <w:r w:rsidR="00A73531">
        <w:rPr>
          <w:rFonts w:ascii="Times New Roman" w:hAnsi="Times New Roman" w:cs="Times New Roman"/>
          <w:sz w:val="24"/>
          <w:szCs w:val="20"/>
          <w:lang w:eastAsia="fr-FR"/>
        </w:rPr>
        <w:t>M</w:t>
      </w:r>
      <w:r>
        <w:rPr>
          <w:rFonts w:ascii="Times New Roman" w:hAnsi="Times New Roman" w:cs="Times New Roman"/>
          <w:sz w:val="24"/>
          <w:szCs w:val="20"/>
          <w:lang w:eastAsia="fr-FR"/>
        </w:rPr>
        <w:t xml:space="preserve">ds </w:t>
      </w:r>
      <w:r w:rsidR="00A73531">
        <w:rPr>
          <w:rFonts w:ascii="Times New Roman" w:hAnsi="Times New Roman" w:cs="Times New Roman"/>
          <w:sz w:val="24"/>
          <w:szCs w:val="20"/>
          <w:lang w:eastAsia="fr-FR"/>
        </w:rPr>
        <w:t>Ͼ doit être réduite à moins de 120 en 2050.</w:t>
      </w:r>
    </w:p>
    <w:p w:rsidR="007F74E8" w:rsidRDefault="00A73531"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Est-ce un mécanisme trop complexe, en particulier par la variabilité des cours d’échange de points Ͼ ? </w:t>
      </w:r>
      <w:r w:rsidR="00CE24A3">
        <w:rPr>
          <w:rFonts w:ascii="Times New Roman" w:hAnsi="Times New Roman" w:cs="Times New Roman"/>
          <w:sz w:val="24"/>
          <w:szCs w:val="20"/>
          <w:lang w:eastAsia="fr-FR"/>
        </w:rPr>
        <w:t>U</w:t>
      </w:r>
      <w:r>
        <w:rPr>
          <w:rFonts w:ascii="Times New Roman" w:hAnsi="Times New Roman" w:cs="Times New Roman"/>
          <w:sz w:val="24"/>
          <w:szCs w:val="20"/>
          <w:lang w:eastAsia="fr-FR"/>
        </w:rPr>
        <w:t xml:space="preserve">n économiste, Antonin Pottier, a proposé de garder fixe la valeur d’échange, ce qui peut effectivement simplifier un peu le travail des ajustoirs régionaux. Mais le système ne présente plus de stimulation comme on peut le voir dans le calcul d’évolution des cours : c’est la montée des cours qui incite les plus riches à investir dans les outils de décarbonation. À valeur fixe, on n’a guère plus d’avantage que la taxe carbone qui a été démontrée comme seulement incitative et non porteuse de résultat. Concernant les autres aspects </w:t>
      </w:r>
      <w:r w:rsidR="00CE24A3">
        <w:rPr>
          <w:rFonts w:ascii="Times New Roman" w:hAnsi="Times New Roman" w:cs="Times New Roman"/>
          <w:sz w:val="24"/>
          <w:szCs w:val="20"/>
          <w:lang w:eastAsia="fr-FR"/>
        </w:rPr>
        <w:t xml:space="preserve">de complexité </w:t>
      </w:r>
      <w:r>
        <w:rPr>
          <w:rFonts w:ascii="Times New Roman" w:hAnsi="Times New Roman" w:cs="Times New Roman"/>
          <w:sz w:val="24"/>
          <w:szCs w:val="20"/>
          <w:lang w:eastAsia="fr-FR"/>
        </w:rPr>
        <w:t>du mécanisme, il est rappelé que la TVA a été organisée sans ordinateurs, aujourd’hui les outils de suivi sont très perfectionnés, certains suivis physiques pourraient même être opérés par blockchain.</w:t>
      </w:r>
    </w:p>
    <w:p w:rsidR="00703B4C" w:rsidRDefault="00401139"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investissements </w:t>
      </w:r>
      <w:r w:rsidR="00CE24A3">
        <w:rPr>
          <w:rFonts w:ascii="Times New Roman" w:hAnsi="Times New Roman" w:cs="Times New Roman"/>
          <w:sz w:val="24"/>
          <w:szCs w:val="20"/>
          <w:lang w:eastAsia="fr-FR"/>
        </w:rPr>
        <w:t xml:space="preserve">de l’État </w:t>
      </w:r>
      <w:r>
        <w:rPr>
          <w:rFonts w:ascii="Times New Roman" w:hAnsi="Times New Roman" w:cs="Times New Roman"/>
          <w:sz w:val="24"/>
          <w:szCs w:val="20"/>
          <w:lang w:eastAsia="fr-FR"/>
        </w:rPr>
        <w:t xml:space="preserve">suivront-ils le mouvement ? </w:t>
      </w:r>
      <w:r w:rsidR="00CE24A3">
        <w:rPr>
          <w:rFonts w:ascii="Times New Roman" w:hAnsi="Times New Roman" w:cs="Times New Roman"/>
          <w:sz w:val="24"/>
          <w:szCs w:val="20"/>
          <w:lang w:eastAsia="fr-FR"/>
        </w:rPr>
        <w:t>L</w:t>
      </w:r>
      <w:r>
        <w:rPr>
          <w:rFonts w:ascii="Times New Roman" w:hAnsi="Times New Roman" w:cs="Times New Roman"/>
          <w:sz w:val="24"/>
          <w:szCs w:val="20"/>
          <w:lang w:eastAsia="fr-FR"/>
        </w:rPr>
        <w:t xml:space="preserve">’affichage mensuel des contenus carbone des services publics sera une première incitation à l’action publique. L’accompagnement des citoyens en matière de transport décarboné et de </w:t>
      </w:r>
      <w:r w:rsidR="00CE24A3">
        <w:rPr>
          <w:rFonts w:ascii="Times New Roman" w:hAnsi="Times New Roman" w:cs="Times New Roman"/>
          <w:sz w:val="24"/>
          <w:szCs w:val="20"/>
          <w:lang w:eastAsia="fr-FR"/>
        </w:rPr>
        <w:t>bâtiments</w:t>
      </w:r>
      <w:r>
        <w:rPr>
          <w:rFonts w:ascii="Times New Roman" w:hAnsi="Times New Roman" w:cs="Times New Roman"/>
          <w:sz w:val="24"/>
          <w:szCs w:val="20"/>
          <w:lang w:eastAsia="fr-FR"/>
        </w:rPr>
        <w:t xml:space="preserve"> plus sobres sera rendu nécessaire par la charge générale, le rapport Pisani-Ferry-Mahfouz a déjà évalué à 66 milliards par an l’effort national nécessaire, comptons plutôt 100 milliards € par an, ce qui représente </w:t>
      </w:r>
      <w:r w:rsidR="00642FC9">
        <w:rPr>
          <w:rFonts w:ascii="Times New Roman" w:hAnsi="Times New Roman" w:cs="Times New Roman"/>
          <w:sz w:val="24"/>
          <w:szCs w:val="20"/>
          <w:lang w:eastAsia="fr-FR"/>
        </w:rPr>
        <w:t>4</w:t>
      </w:r>
      <w:r>
        <w:rPr>
          <w:rFonts w:ascii="Times New Roman" w:hAnsi="Times New Roman" w:cs="Times New Roman"/>
          <w:sz w:val="24"/>
          <w:szCs w:val="20"/>
          <w:lang w:eastAsia="fr-FR"/>
        </w:rPr>
        <w:t>0% des dividendes d</w:t>
      </w:r>
      <w:r w:rsidR="00703B4C">
        <w:rPr>
          <w:rFonts w:ascii="Times New Roman" w:hAnsi="Times New Roman" w:cs="Times New Roman"/>
          <w:sz w:val="24"/>
          <w:szCs w:val="20"/>
          <w:lang w:eastAsia="fr-FR"/>
        </w:rPr>
        <w:t>es entreprises françaises</w:t>
      </w:r>
      <w:r w:rsidR="00971929">
        <w:rPr>
          <w:rFonts w:ascii="Times New Roman" w:hAnsi="Times New Roman" w:cs="Times New Roman"/>
          <w:sz w:val="24"/>
          <w:szCs w:val="20"/>
          <w:lang w:eastAsia="fr-FR"/>
        </w:rPr>
        <w:t xml:space="preserve"> (les 40 premières versant à elles seules 60 milliards, l’ensemble des entreprises dépasse </w:t>
      </w:r>
      <w:r w:rsidR="00642FC9">
        <w:rPr>
          <w:rFonts w:ascii="Times New Roman" w:hAnsi="Times New Roman" w:cs="Times New Roman"/>
          <w:sz w:val="24"/>
          <w:szCs w:val="20"/>
          <w:lang w:eastAsia="fr-FR"/>
        </w:rPr>
        <w:t>24</w:t>
      </w:r>
      <w:r w:rsidR="00971929">
        <w:rPr>
          <w:rFonts w:ascii="Times New Roman" w:hAnsi="Times New Roman" w:cs="Times New Roman"/>
          <w:sz w:val="24"/>
          <w:szCs w:val="20"/>
          <w:lang w:eastAsia="fr-FR"/>
        </w:rPr>
        <w:t>0</w:t>
      </w:r>
      <w:r w:rsidR="00642FC9">
        <w:rPr>
          <w:rFonts w:ascii="Times New Roman" w:hAnsi="Times New Roman" w:cs="Times New Roman"/>
          <w:sz w:val="24"/>
          <w:szCs w:val="20"/>
          <w:lang w:eastAsia="fr-FR"/>
        </w:rPr>
        <w:t xml:space="preserve"> selon l’Insee</w:t>
      </w:r>
      <w:r w:rsidR="00971929">
        <w:rPr>
          <w:rFonts w:ascii="Times New Roman" w:hAnsi="Times New Roman" w:cs="Times New Roman"/>
          <w:sz w:val="24"/>
          <w:szCs w:val="20"/>
          <w:lang w:eastAsia="fr-FR"/>
        </w:rPr>
        <w:t>).</w:t>
      </w:r>
    </w:p>
    <w:p w:rsidR="00971929" w:rsidRDefault="00971929"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français vivront-ils sous contrainte ? </w:t>
      </w:r>
      <w:r w:rsidR="00CE24A3">
        <w:rPr>
          <w:rFonts w:ascii="Times New Roman" w:hAnsi="Times New Roman" w:cs="Times New Roman"/>
          <w:sz w:val="24"/>
          <w:szCs w:val="20"/>
          <w:lang w:eastAsia="fr-FR"/>
        </w:rPr>
        <w:t>P</w:t>
      </w:r>
      <w:r>
        <w:rPr>
          <w:rFonts w:ascii="Times New Roman" w:hAnsi="Times New Roman" w:cs="Times New Roman"/>
          <w:sz w:val="24"/>
          <w:szCs w:val="20"/>
          <w:lang w:eastAsia="fr-FR"/>
        </w:rPr>
        <w:t>ar la sobriété</w:t>
      </w:r>
      <w:r w:rsidR="00CE24A3">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les français vont redécouvrir des loisirs décarbonés de proximité ; il y aura beaucoup de changement dans les choix de loisirs et de déplacements familiaux, on fera un </w:t>
      </w:r>
      <w:r w:rsidR="00CE24A3">
        <w:rPr>
          <w:rFonts w:ascii="Times New Roman" w:hAnsi="Times New Roman" w:cs="Times New Roman"/>
          <w:sz w:val="24"/>
          <w:szCs w:val="20"/>
          <w:lang w:eastAsia="fr-FR"/>
        </w:rPr>
        <w:t>noël</w:t>
      </w:r>
      <w:r>
        <w:rPr>
          <w:rFonts w:ascii="Times New Roman" w:hAnsi="Times New Roman" w:cs="Times New Roman"/>
          <w:sz w:val="24"/>
          <w:szCs w:val="20"/>
          <w:lang w:eastAsia="fr-FR"/>
        </w:rPr>
        <w:t xml:space="preserve"> sur deux en famille lointaine, les réunions en visio ont déjà allégé les obligations de voyages. Beaucoup d’entre nous vont regretter les années de gabegie kilométrique mais la planète nous le demande.</w:t>
      </w:r>
      <w:r w:rsidR="000F376B">
        <w:rPr>
          <w:rFonts w:ascii="Times New Roman" w:hAnsi="Times New Roman" w:cs="Times New Roman"/>
          <w:sz w:val="24"/>
          <w:szCs w:val="20"/>
          <w:lang w:eastAsia="fr-FR"/>
        </w:rPr>
        <w:t xml:space="preserve"> De plus il a été évalué</w:t>
      </w:r>
      <w:r w:rsidR="000F376B">
        <w:rPr>
          <w:rStyle w:val="Appelnotedebasdep"/>
          <w:rFonts w:ascii="Times New Roman" w:hAnsi="Times New Roman" w:cs="Times New Roman"/>
          <w:sz w:val="24"/>
          <w:szCs w:val="20"/>
          <w:lang w:eastAsia="fr-FR"/>
        </w:rPr>
        <w:footnoteReference w:id="15"/>
      </w:r>
      <w:r w:rsidR="000F376B">
        <w:rPr>
          <w:rFonts w:ascii="Times New Roman" w:hAnsi="Times New Roman" w:cs="Times New Roman"/>
          <w:sz w:val="24"/>
          <w:szCs w:val="20"/>
          <w:lang w:eastAsia="fr-FR"/>
        </w:rPr>
        <w:t xml:space="preserve"> qu’en 2050 le confort à 2t/an sera similaire au mode de vie à 6t/an actuellement.</w:t>
      </w:r>
    </w:p>
    <w:p w:rsidR="00971929" w:rsidRDefault="00971929"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La justice sociale annoncée serait</w:t>
      </w:r>
      <w:r w:rsidR="00CE24A3">
        <w:rPr>
          <w:rFonts w:ascii="Times New Roman" w:hAnsi="Times New Roman" w:cs="Times New Roman"/>
          <w:sz w:val="24"/>
          <w:szCs w:val="20"/>
          <w:lang w:eastAsia="fr-FR"/>
        </w:rPr>
        <w:t>-elle</w:t>
      </w:r>
      <w:r>
        <w:rPr>
          <w:rFonts w:ascii="Times New Roman" w:hAnsi="Times New Roman" w:cs="Times New Roman"/>
          <w:sz w:val="24"/>
          <w:szCs w:val="20"/>
          <w:lang w:eastAsia="fr-FR"/>
        </w:rPr>
        <w:t xml:space="preserve"> illusoire ? </w:t>
      </w:r>
      <w:r w:rsidR="00CE24A3">
        <w:rPr>
          <w:rFonts w:ascii="Times New Roman" w:hAnsi="Times New Roman" w:cs="Times New Roman"/>
          <w:sz w:val="24"/>
          <w:szCs w:val="20"/>
          <w:lang w:eastAsia="fr-FR"/>
        </w:rPr>
        <w:t>O</w:t>
      </w:r>
      <w:r>
        <w:rPr>
          <w:rFonts w:ascii="Times New Roman" w:hAnsi="Times New Roman" w:cs="Times New Roman"/>
          <w:sz w:val="24"/>
          <w:szCs w:val="20"/>
          <w:lang w:eastAsia="fr-FR"/>
        </w:rPr>
        <w:t xml:space="preserve">n l’a vu dans la courbe en </w:t>
      </w:r>
      <w:r w:rsidR="00CE24A3">
        <w:rPr>
          <w:rFonts w:ascii="Times New Roman" w:hAnsi="Times New Roman" w:cs="Times New Roman"/>
          <w:sz w:val="24"/>
          <w:szCs w:val="20"/>
          <w:lang w:eastAsia="fr-FR"/>
        </w:rPr>
        <w:t>« </w:t>
      </w:r>
      <w:r>
        <w:rPr>
          <w:rFonts w:ascii="Times New Roman" w:hAnsi="Times New Roman" w:cs="Times New Roman"/>
          <w:sz w:val="24"/>
          <w:szCs w:val="20"/>
          <w:lang w:eastAsia="fr-FR"/>
        </w:rPr>
        <w:t>coup de fouet</w:t>
      </w:r>
      <w:r w:rsidR="00CE24A3">
        <w:rPr>
          <w:rFonts w:ascii="Times New Roman" w:hAnsi="Times New Roman" w:cs="Times New Roman"/>
          <w:sz w:val="24"/>
          <w:szCs w:val="20"/>
          <w:lang w:eastAsia="fr-FR"/>
        </w:rPr>
        <w:t> »</w:t>
      </w:r>
      <w:r>
        <w:rPr>
          <w:rFonts w:ascii="Times New Roman" w:hAnsi="Times New Roman" w:cs="Times New Roman"/>
          <w:sz w:val="24"/>
          <w:szCs w:val="20"/>
          <w:lang w:eastAsia="fr-FR"/>
        </w:rPr>
        <w:t xml:space="preserve"> de l’évolution des cours, les possibilités de revente seront un vrai apport pour les plus modestes. </w:t>
      </w:r>
      <w:r w:rsidR="00816DFB">
        <w:rPr>
          <w:rFonts w:ascii="Times New Roman" w:hAnsi="Times New Roman" w:cs="Times New Roman"/>
          <w:sz w:val="24"/>
          <w:szCs w:val="20"/>
          <w:lang w:eastAsia="fr-FR"/>
        </w:rPr>
        <w:t xml:space="preserve">Une famille disposant de 37 000 Ͼ qui peut en revendre 10000 à 0.4€ obtient 4000€ qui lui permettent de choisir de la qualité alimentaire et des équipements scolaires pour les enfants. </w:t>
      </w:r>
      <w:r>
        <w:rPr>
          <w:rFonts w:ascii="Times New Roman" w:hAnsi="Times New Roman" w:cs="Times New Roman"/>
          <w:sz w:val="24"/>
          <w:szCs w:val="20"/>
          <w:lang w:eastAsia="fr-FR"/>
        </w:rPr>
        <w:t>Et pour</w:t>
      </w:r>
      <w:r w:rsidR="00816DFB">
        <w:rPr>
          <w:rFonts w:ascii="Times New Roman" w:hAnsi="Times New Roman" w:cs="Times New Roman"/>
          <w:sz w:val="24"/>
          <w:szCs w:val="20"/>
          <w:lang w:eastAsia="fr-FR"/>
        </w:rPr>
        <w:t xml:space="preserve"> une</w:t>
      </w:r>
      <w:r>
        <w:rPr>
          <w:rFonts w:ascii="Times New Roman" w:hAnsi="Times New Roman" w:cs="Times New Roman"/>
          <w:sz w:val="24"/>
          <w:szCs w:val="20"/>
          <w:lang w:eastAsia="fr-FR"/>
        </w:rPr>
        <w:t xml:space="preserve"> fois les riches seront contents de donner de l’argent qui va aux pauvres. </w:t>
      </w:r>
    </w:p>
    <w:p w:rsidR="00816DFB" w:rsidRDefault="00816DFB"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Les </w:t>
      </w:r>
      <w:r w:rsidR="000F376B">
        <w:rPr>
          <w:rFonts w:ascii="Times New Roman" w:hAnsi="Times New Roman" w:cs="Times New Roman"/>
          <w:sz w:val="24"/>
          <w:szCs w:val="20"/>
          <w:lang w:eastAsia="fr-FR"/>
        </w:rPr>
        <w:t>ultra-</w:t>
      </w:r>
      <w:r>
        <w:rPr>
          <w:rFonts w:ascii="Times New Roman" w:hAnsi="Times New Roman" w:cs="Times New Roman"/>
          <w:sz w:val="24"/>
          <w:szCs w:val="20"/>
          <w:lang w:eastAsia="fr-FR"/>
        </w:rPr>
        <w:t xml:space="preserve">riches vont-ils continuer à abuser ? </w:t>
      </w:r>
      <w:r w:rsidR="00CE24A3">
        <w:rPr>
          <w:rFonts w:ascii="Times New Roman" w:hAnsi="Times New Roman" w:cs="Times New Roman"/>
          <w:sz w:val="24"/>
          <w:szCs w:val="20"/>
          <w:lang w:eastAsia="fr-FR"/>
        </w:rPr>
        <w:t>Il</w:t>
      </w:r>
      <w:r>
        <w:rPr>
          <w:rFonts w:ascii="Times New Roman" w:hAnsi="Times New Roman" w:cs="Times New Roman"/>
          <w:sz w:val="24"/>
          <w:szCs w:val="20"/>
          <w:lang w:eastAsia="fr-FR"/>
        </w:rPr>
        <w:t xml:space="preserve"> est proposé que les surplus achetables seront limités à l’alimentaire et aux besoins de base, cela reste à discuter entre tous citoyens. Les surplus sont taxables si on le décide ainsi. Même s’ils pouvaient tout acheter avec leurs </w:t>
      </w:r>
      <w:r>
        <w:rPr>
          <w:rFonts w:ascii="Times New Roman" w:hAnsi="Times New Roman" w:cs="Times New Roman"/>
          <w:sz w:val="24"/>
          <w:szCs w:val="20"/>
          <w:lang w:eastAsia="fr-FR"/>
        </w:rPr>
        <w:lastRenderedPageBreak/>
        <w:t>surplus, les riches tenteraient rapidement de décarboner leur mode de vie comme on le voit dans l’atténuation de la courbe d’évolution des cours ci-dessus.</w:t>
      </w:r>
    </w:p>
    <w:p w:rsidR="00816DFB" w:rsidRDefault="00816DFB"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Les pauvres risquent-ils de vendre trop de leur carbone et devenir victimes du système ? Il est précisé plus haut que la moitié des droits vendus</w:t>
      </w:r>
      <w:r w:rsidR="000F376B">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reste en instance</w:t>
      </w:r>
      <w:r w:rsidR="00103119">
        <w:rPr>
          <w:rFonts w:ascii="Times New Roman" w:hAnsi="Times New Roman" w:cs="Times New Roman"/>
          <w:sz w:val="24"/>
          <w:szCs w:val="20"/>
          <w:lang w:eastAsia="fr-FR"/>
        </w:rPr>
        <w:t xml:space="preserve"> pour paiement en fin d’exercice lors du renouvellement de la dotation</w:t>
      </w:r>
      <w:r w:rsidR="00D443CB">
        <w:rPr>
          <w:rFonts w:ascii="Times New Roman" w:hAnsi="Times New Roman" w:cs="Times New Roman"/>
          <w:sz w:val="24"/>
          <w:szCs w:val="20"/>
          <w:lang w:eastAsia="fr-FR"/>
        </w:rPr>
        <w:t>, cela pour éviter que certains s’en trouvent dépourvus avant la fin de l’exercice</w:t>
      </w:r>
      <w:r w:rsidR="00103119">
        <w:rPr>
          <w:rFonts w:ascii="Times New Roman" w:hAnsi="Times New Roman" w:cs="Times New Roman"/>
          <w:sz w:val="24"/>
          <w:szCs w:val="20"/>
          <w:lang w:eastAsia="fr-FR"/>
        </w:rPr>
        <w:t xml:space="preserve">. </w:t>
      </w:r>
      <w:r w:rsidR="00D443CB">
        <w:rPr>
          <w:rFonts w:ascii="Times New Roman" w:hAnsi="Times New Roman" w:cs="Times New Roman"/>
          <w:sz w:val="24"/>
          <w:szCs w:val="20"/>
          <w:lang w:eastAsia="fr-FR"/>
        </w:rPr>
        <w:t xml:space="preserve">La rencontre de Matignon de janvier 2021 avait entrainé l’élaboration d’un </w:t>
      </w:r>
      <w:r w:rsidR="00E96FCA">
        <w:rPr>
          <w:rFonts w:ascii="Times New Roman" w:hAnsi="Times New Roman" w:cs="Times New Roman"/>
          <w:sz w:val="24"/>
          <w:szCs w:val="20"/>
          <w:lang w:eastAsia="fr-FR"/>
        </w:rPr>
        <w:t>barème</w:t>
      </w:r>
      <w:r w:rsidR="00D443CB">
        <w:rPr>
          <w:rFonts w:ascii="Times New Roman" w:hAnsi="Times New Roman" w:cs="Times New Roman"/>
          <w:sz w:val="24"/>
          <w:szCs w:val="20"/>
          <w:lang w:eastAsia="fr-FR"/>
        </w:rPr>
        <w:t xml:space="preserve"> de surquotas</w:t>
      </w:r>
      <w:r w:rsidR="00E96FCA">
        <w:rPr>
          <w:rStyle w:val="Appelnotedebasdep"/>
          <w:rFonts w:ascii="Times New Roman" w:hAnsi="Times New Roman" w:cs="Times New Roman"/>
          <w:sz w:val="24"/>
          <w:szCs w:val="20"/>
          <w:lang w:eastAsia="fr-FR"/>
        </w:rPr>
        <w:footnoteReference w:id="16"/>
      </w:r>
      <w:r w:rsidR="00D443CB">
        <w:rPr>
          <w:rFonts w:ascii="Times New Roman" w:hAnsi="Times New Roman" w:cs="Times New Roman"/>
          <w:sz w:val="24"/>
          <w:szCs w:val="20"/>
          <w:lang w:eastAsia="fr-FR"/>
        </w:rPr>
        <w:t xml:space="preserve"> pour les familles craignant d’être mises en difficulté, par exemple pour des personnes surmédicalisées, des enfants étudiant à l’étranger, </w:t>
      </w:r>
      <w:r w:rsidR="00E96FCA">
        <w:rPr>
          <w:rFonts w:ascii="Times New Roman" w:hAnsi="Times New Roman" w:cs="Times New Roman"/>
          <w:sz w:val="24"/>
          <w:szCs w:val="20"/>
          <w:lang w:eastAsia="fr-FR"/>
        </w:rPr>
        <w:t>des familles accueillant des migrants… Sur le modèle des commissions départementales de désendettement, il serait proposé des recours pour les familles en difficulté. Il est possible de stipuler dans le règlement de l’agence carbone que soit garantie la satisfaction des besoins de base et lesquels.</w:t>
      </w:r>
    </w:p>
    <w:p w:rsidR="00BC01E4" w:rsidRDefault="00E96FCA"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sidRPr="000F376B">
        <w:rPr>
          <w:rFonts w:ascii="Times New Roman" w:hAnsi="Times New Roman" w:cs="Times New Roman"/>
          <w:b/>
          <w:sz w:val="24"/>
          <w:szCs w:val="20"/>
          <w:lang w:eastAsia="fr-FR"/>
        </w:rPr>
        <w:t>Risque de mise sous tension ?</w:t>
      </w:r>
      <w:r>
        <w:rPr>
          <w:rFonts w:ascii="Times New Roman" w:hAnsi="Times New Roman" w:cs="Times New Roman"/>
          <w:sz w:val="24"/>
          <w:szCs w:val="20"/>
          <w:lang w:eastAsia="fr-FR"/>
        </w:rPr>
        <w:t xml:space="preserve"> Admettant que tout français recevrait 9000 Ͼ, et que les plus riches seraient appelés déficitaires en raison de leur addiction aux contenus carbonés, y a -t-il des citoyens modestes voire pauvres qui n’auraient pas assez des 9000 ? Ce risque existait pour les obligations de trajets domicile-travail. Mais les alliés du compte carbone s’accordent </w:t>
      </w:r>
      <w:r w:rsidR="001D2F7D">
        <w:rPr>
          <w:rFonts w:ascii="Times New Roman" w:hAnsi="Times New Roman" w:cs="Times New Roman"/>
          <w:sz w:val="24"/>
          <w:szCs w:val="20"/>
          <w:lang w:eastAsia="fr-FR"/>
        </w:rPr>
        <w:t xml:space="preserve">désormais </w:t>
      </w:r>
      <w:r>
        <w:rPr>
          <w:rFonts w:ascii="Times New Roman" w:hAnsi="Times New Roman" w:cs="Times New Roman"/>
          <w:sz w:val="24"/>
          <w:szCs w:val="20"/>
          <w:lang w:eastAsia="fr-FR"/>
        </w:rPr>
        <w:t xml:space="preserve">pour </w:t>
      </w:r>
      <w:r w:rsidR="001D2F7D">
        <w:rPr>
          <w:rFonts w:ascii="Times New Roman" w:hAnsi="Times New Roman" w:cs="Times New Roman"/>
          <w:sz w:val="24"/>
          <w:szCs w:val="20"/>
          <w:lang w:eastAsia="fr-FR"/>
        </w:rPr>
        <w:t xml:space="preserve">que soit </w:t>
      </w:r>
      <w:r>
        <w:rPr>
          <w:rFonts w:ascii="Times New Roman" w:hAnsi="Times New Roman" w:cs="Times New Roman"/>
          <w:sz w:val="24"/>
          <w:szCs w:val="20"/>
          <w:lang w:eastAsia="fr-FR"/>
        </w:rPr>
        <w:t>partag</w:t>
      </w:r>
      <w:r w:rsidR="001D2F7D">
        <w:rPr>
          <w:rFonts w:ascii="Times New Roman" w:hAnsi="Times New Roman" w:cs="Times New Roman"/>
          <w:sz w:val="24"/>
          <w:szCs w:val="20"/>
          <w:lang w:eastAsia="fr-FR"/>
        </w:rPr>
        <w:t>ée</w:t>
      </w:r>
      <w:r>
        <w:rPr>
          <w:rFonts w:ascii="Times New Roman" w:hAnsi="Times New Roman" w:cs="Times New Roman"/>
          <w:sz w:val="24"/>
          <w:szCs w:val="20"/>
          <w:lang w:eastAsia="fr-FR"/>
        </w:rPr>
        <w:t xml:space="preserve"> la responsabilité de ces trajets avec l’employeur</w:t>
      </w:r>
      <w:r w:rsidR="001D2F7D">
        <w:rPr>
          <w:rFonts w:ascii="Times New Roman" w:hAnsi="Times New Roman" w:cs="Times New Roman"/>
          <w:sz w:val="24"/>
          <w:szCs w:val="20"/>
          <w:lang w:eastAsia="fr-FR"/>
        </w:rPr>
        <w:t xml:space="preserve"> à 50/50</w:t>
      </w:r>
      <w:r>
        <w:rPr>
          <w:rFonts w:ascii="Times New Roman" w:hAnsi="Times New Roman" w:cs="Times New Roman"/>
          <w:sz w:val="24"/>
          <w:szCs w:val="20"/>
          <w:lang w:eastAsia="fr-FR"/>
        </w:rPr>
        <w:t xml:space="preserve">. Dans ces conditions, et par rapprochement avec les études du World </w:t>
      </w:r>
      <w:proofErr w:type="spellStart"/>
      <w:r>
        <w:rPr>
          <w:rFonts w:ascii="Times New Roman" w:hAnsi="Times New Roman" w:cs="Times New Roman"/>
          <w:sz w:val="24"/>
          <w:szCs w:val="20"/>
          <w:lang w:eastAsia="fr-FR"/>
        </w:rPr>
        <w:t>Inequality</w:t>
      </w:r>
      <w:proofErr w:type="spellEnd"/>
      <w:r>
        <w:rPr>
          <w:rFonts w:ascii="Times New Roman" w:hAnsi="Times New Roman" w:cs="Times New Roman"/>
          <w:sz w:val="24"/>
          <w:szCs w:val="20"/>
          <w:lang w:eastAsia="fr-FR"/>
        </w:rPr>
        <w:t xml:space="preserve"> </w:t>
      </w:r>
      <w:proofErr w:type="spellStart"/>
      <w:r>
        <w:rPr>
          <w:rFonts w:ascii="Times New Roman" w:hAnsi="Times New Roman" w:cs="Times New Roman"/>
          <w:sz w:val="24"/>
          <w:szCs w:val="20"/>
          <w:lang w:eastAsia="fr-FR"/>
        </w:rPr>
        <w:t>Lab</w:t>
      </w:r>
      <w:proofErr w:type="spellEnd"/>
      <w:r>
        <w:rPr>
          <w:rFonts w:ascii="Times New Roman" w:hAnsi="Times New Roman" w:cs="Times New Roman"/>
          <w:sz w:val="24"/>
          <w:szCs w:val="20"/>
          <w:lang w:eastAsia="fr-FR"/>
        </w:rPr>
        <w:t xml:space="preserve">, </w:t>
      </w:r>
      <w:proofErr w:type="gramStart"/>
      <w:r w:rsidR="001D2F7D">
        <w:rPr>
          <w:rFonts w:ascii="Times New Roman" w:hAnsi="Times New Roman" w:cs="Times New Roman"/>
          <w:sz w:val="24"/>
          <w:szCs w:val="20"/>
          <w:lang w:eastAsia="fr-FR"/>
        </w:rPr>
        <w:t xml:space="preserve">il </w:t>
      </w:r>
      <w:r>
        <w:rPr>
          <w:rFonts w:ascii="Times New Roman" w:hAnsi="Times New Roman" w:cs="Times New Roman"/>
          <w:sz w:val="24"/>
          <w:szCs w:val="20"/>
          <w:lang w:eastAsia="fr-FR"/>
        </w:rPr>
        <w:t xml:space="preserve"> </w:t>
      </w:r>
      <w:r w:rsidR="001D2F7D">
        <w:rPr>
          <w:rFonts w:ascii="Times New Roman" w:hAnsi="Times New Roman" w:cs="Times New Roman"/>
          <w:sz w:val="24"/>
          <w:szCs w:val="20"/>
          <w:lang w:eastAsia="fr-FR"/>
        </w:rPr>
        <w:t>est</w:t>
      </w:r>
      <w:proofErr w:type="gramEnd"/>
      <w:r>
        <w:rPr>
          <w:rFonts w:ascii="Times New Roman" w:hAnsi="Times New Roman" w:cs="Times New Roman"/>
          <w:sz w:val="24"/>
          <w:szCs w:val="20"/>
          <w:lang w:eastAsia="fr-FR"/>
        </w:rPr>
        <w:t xml:space="preserve"> démontr</w:t>
      </w:r>
      <w:r w:rsidR="001D2F7D">
        <w:rPr>
          <w:rFonts w:ascii="Times New Roman" w:hAnsi="Times New Roman" w:cs="Times New Roman"/>
          <w:sz w:val="24"/>
          <w:szCs w:val="20"/>
          <w:lang w:eastAsia="fr-FR"/>
        </w:rPr>
        <w:t>é</w:t>
      </w:r>
      <w:r>
        <w:rPr>
          <w:rFonts w:ascii="Times New Roman" w:hAnsi="Times New Roman" w:cs="Times New Roman"/>
          <w:sz w:val="24"/>
          <w:szCs w:val="20"/>
          <w:lang w:eastAsia="fr-FR"/>
        </w:rPr>
        <w:t xml:space="preserve"> qu’aucun citoyen des 4 premiers déciles </w:t>
      </w:r>
      <w:r w:rsidR="00B801B4">
        <w:rPr>
          <w:rFonts w:ascii="Times New Roman" w:hAnsi="Times New Roman" w:cs="Times New Roman"/>
          <w:sz w:val="24"/>
          <w:szCs w:val="20"/>
          <w:lang w:eastAsia="fr-FR"/>
        </w:rPr>
        <w:t>n’aurait besoin de plus</w:t>
      </w:r>
      <w:r>
        <w:rPr>
          <w:rFonts w:ascii="Times New Roman" w:hAnsi="Times New Roman" w:cs="Times New Roman"/>
          <w:sz w:val="24"/>
          <w:szCs w:val="20"/>
          <w:lang w:eastAsia="fr-FR"/>
        </w:rPr>
        <w:t xml:space="preserve"> de 9000 Ͼ.</w:t>
      </w:r>
    </w:p>
    <w:p w:rsidR="00E96FCA" w:rsidRDefault="001D2F7D"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sidRPr="000F376B">
        <w:rPr>
          <w:rFonts w:ascii="Times New Roman" w:hAnsi="Times New Roman" w:cs="Times New Roman"/>
          <w:b/>
          <w:sz w:val="24"/>
          <w:szCs w:val="20"/>
          <w:lang w:eastAsia="fr-FR"/>
        </w:rPr>
        <w:t>La comptabilité carbone généralisée dans les entreprises est-elle réaliste ?</w:t>
      </w:r>
      <w:r>
        <w:rPr>
          <w:rFonts w:ascii="Times New Roman" w:hAnsi="Times New Roman" w:cs="Times New Roman"/>
          <w:sz w:val="24"/>
          <w:szCs w:val="20"/>
          <w:lang w:eastAsia="fr-FR"/>
        </w:rPr>
        <w:t xml:space="preserve"> Il est évoqué plus haut que les outils sont prêts, mais les entreprises ne se plieront à cet exercice que si les consommateurs l’exigent pour les besoins d’étiquetage de tous produits et services. Les alliés du compte carbone</w:t>
      </w:r>
      <w:r w:rsidR="00B318D7">
        <w:rPr>
          <w:rFonts w:ascii="Times New Roman" w:hAnsi="Times New Roman" w:cs="Times New Roman"/>
          <w:sz w:val="24"/>
          <w:szCs w:val="20"/>
          <w:lang w:eastAsia="fr-FR"/>
        </w:rPr>
        <w:t xml:space="preserve"> proposent que soit validé ce mécanisme par une votation nationale donnant majorité des français pour lancer le processus de mise en application qui pourrait prendre 8 à 15 mois. Au préalable comme stipulé par la note de récit</w:t>
      </w:r>
      <w:r w:rsidR="00B318D7">
        <w:rPr>
          <w:rStyle w:val="Appelnotedebasdep"/>
          <w:rFonts w:ascii="Times New Roman" w:hAnsi="Times New Roman" w:cs="Times New Roman"/>
          <w:sz w:val="24"/>
          <w:szCs w:val="20"/>
          <w:lang w:eastAsia="fr-FR"/>
        </w:rPr>
        <w:footnoteReference w:id="17"/>
      </w:r>
      <w:r w:rsidR="00B318D7">
        <w:rPr>
          <w:rFonts w:ascii="Times New Roman" w:hAnsi="Times New Roman" w:cs="Times New Roman"/>
          <w:sz w:val="24"/>
          <w:szCs w:val="20"/>
          <w:lang w:eastAsia="fr-FR"/>
        </w:rPr>
        <w:t>, il faudra une large consultation assortie de la pédagogie nécessaire.</w:t>
      </w:r>
    </w:p>
    <w:p w:rsidR="00B318D7" w:rsidRDefault="00B318D7"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sidRPr="000F376B">
        <w:rPr>
          <w:rFonts w:ascii="Times New Roman" w:hAnsi="Times New Roman" w:cs="Times New Roman"/>
          <w:b/>
          <w:sz w:val="24"/>
          <w:szCs w:val="20"/>
          <w:lang w:eastAsia="fr-FR"/>
        </w:rPr>
        <w:t>Le compte carbone est-il compatible</w:t>
      </w:r>
      <w:r>
        <w:rPr>
          <w:rFonts w:ascii="Times New Roman" w:hAnsi="Times New Roman" w:cs="Times New Roman"/>
          <w:sz w:val="24"/>
          <w:szCs w:val="20"/>
          <w:lang w:eastAsia="fr-FR"/>
        </w:rPr>
        <w:t xml:space="preserve"> avec les quotas industriels mis en œuvre par la commission européenne sur les grandes entreprises de cinq secteurs ? </w:t>
      </w:r>
      <w:r w:rsidR="00CE24A3">
        <w:rPr>
          <w:rFonts w:ascii="Times New Roman" w:hAnsi="Times New Roman" w:cs="Times New Roman"/>
          <w:sz w:val="24"/>
          <w:szCs w:val="20"/>
          <w:lang w:eastAsia="fr-FR"/>
        </w:rPr>
        <w:t>C</w:t>
      </w:r>
      <w:r>
        <w:rPr>
          <w:rFonts w:ascii="Times New Roman" w:hAnsi="Times New Roman" w:cs="Times New Roman"/>
          <w:sz w:val="24"/>
          <w:szCs w:val="20"/>
          <w:lang w:eastAsia="fr-FR"/>
        </w:rPr>
        <w:t>e mécanisme appelé SEQE en français ou EU-ETS en anglais concerne les secteurs de la production d’énergie, d’acier, de ciment et de produits chimiques en vendant aux enchères des quotas industriels de carbone. Il est incitatif pour les entreprises mais il provoque aussi des augmentations de prix pour les consommateurs. On ne peut pas l’arrêter facilement et il peut être simultané à la mise en place du compte carbone. Toutefois il apparaitra</w:t>
      </w:r>
      <w:r w:rsidR="00B801B4">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lorsqu’une majorité de pays européens aura intégré le compte carbone</w:t>
      </w:r>
      <w:r w:rsidR="00B801B4">
        <w:rPr>
          <w:rFonts w:ascii="Times New Roman" w:hAnsi="Times New Roman" w:cs="Times New Roman"/>
          <w:sz w:val="24"/>
          <w:szCs w:val="20"/>
          <w:lang w:eastAsia="fr-FR"/>
        </w:rPr>
        <w:t>,</w:t>
      </w:r>
      <w:r>
        <w:rPr>
          <w:rFonts w:ascii="Times New Roman" w:hAnsi="Times New Roman" w:cs="Times New Roman"/>
          <w:sz w:val="24"/>
          <w:szCs w:val="20"/>
          <w:lang w:eastAsia="fr-FR"/>
        </w:rPr>
        <w:t xml:space="preserve"> que l’on pourra se passer de l’incitation SEQE puisqu’il y aura l’incitation de décarbonation du compte carbone. Précisons que le mécanisme de compte carbone ne peut être directement européen mais doit </w:t>
      </w:r>
      <w:r w:rsidR="005C3F73">
        <w:rPr>
          <w:rFonts w:ascii="Times New Roman" w:hAnsi="Times New Roman" w:cs="Times New Roman"/>
          <w:sz w:val="24"/>
          <w:szCs w:val="20"/>
          <w:lang w:eastAsia="fr-FR"/>
        </w:rPr>
        <w:t>respecter</w:t>
      </w:r>
      <w:r>
        <w:rPr>
          <w:rFonts w:ascii="Times New Roman" w:hAnsi="Times New Roman" w:cs="Times New Roman"/>
          <w:sz w:val="24"/>
          <w:szCs w:val="20"/>
          <w:lang w:eastAsia="fr-FR"/>
        </w:rPr>
        <w:t xml:space="preserve"> les périmètres de comptabilités nationales, en raison surtout des disparités entre pays : nous sommes à 9t/p/an en France mais à 12t en Allemagne et 6t en Roumanie, les </w:t>
      </w:r>
      <w:r w:rsidR="001731C3">
        <w:rPr>
          <w:rFonts w:ascii="Times New Roman" w:hAnsi="Times New Roman" w:cs="Times New Roman"/>
          <w:sz w:val="24"/>
          <w:szCs w:val="20"/>
          <w:lang w:eastAsia="fr-FR"/>
        </w:rPr>
        <w:t xml:space="preserve">réductions annuelles doivent ainsi être de 6, 7 et 4% pour atteindre la même neutralité carbone en 2050. Il est possible qu’en 2035 les </w:t>
      </w:r>
      <w:r w:rsidR="001731C3">
        <w:rPr>
          <w:rFonts w:ascii="Times New Roman" w:hAnsi="Times New Roman" w:cs="Times New Roman"/>
          <w:sz w:val="24"/>
          <w:szCs w:val="20"/>
          <w:lang w:eastAsia="fr-FR"/>
        </w:rPr>
        <w:lastRenderedPageBreak/>
        <w:t>différents pays européens seront assez proches pour rassembler le tout dans une agence carbone européenne, si tous d’accord…</w:t>
      </w:r>
    </w:p>
    <w:p w:rsidR="001731C3" w:rsidRDefault="001731C3" w:rsidP="00BC01E4">
      <w:pPr>
        <w:pBdr>
          <w:bottom w:val="dotted" w:sz="24" w:space="1" w:color="auto"/>
        </w:pBdr>
        <w:spacing w:before="100" w:beforeAutospacing="1" w:after="100" w:afterAutospacing="1"/>
        <w:rPr>
          <w:rFonts w:ascii="Times New Roman" w:hAnsi="Times New Roman" w:cs="Times New Roman"/>
          <w:sz w:val="24"/>
          <w:szCs w:val="20"/>
          <w:lang w:eastAsia="fr-FR"/>
        </w:rPr>
      </w:pPr>
    </w:p>
    <w:p w:rsidR="001731C3" w:rsidRPr="001731C3" w:rsidRDefault="001731C3" w:rsidP="00BC01E4">
      <w:pPr>
        <w:pBdr>
          <w:bottom w:val="dotted" w:sz="24" w:space="1" w:color="auto"/>
        </w:pBdr>
        <w:spacing w:before="100" w:beforeAutospacing="1" w:after="100" w:afterAutospacing="1"/>
        <w:rPr>
          <w:rFonts w:ascii="Times New Roman" w:hAnsi="Times New Roman" w:cs="Times New Roman"/>
          <w:b/>
          <w:sz w:val="24"/>
          <w:szCs w:val="20"/>
          <w:lang w:eastAsia="fr-FR"/>
        </w:rPr>
      </w:pPr>
      <w:r w:rsidRPr="001731C3">
        <w:rPr>
          <w:rFonts w:ascii="Times New Roman" w:hAnsi="Times New Roman" w:cs="Times New Roman"/>
          <w:b/>
          <w:sz w:val="24"/>
          <w:szCs w:val="20"/>
          <w:lang w:eastAsia="fr-FR"/>
        </w:rPr>
        <w:t>En conclusion, c’est difficile !</w:t>
      </w:r>
    </w:p>
    <w:p w:rsidR="001731C3" w:rsidRDefault="001731C3"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Il semble aux alliés du compte carbone qu’un tel mécanisme ne pourra tenir efficacement s’il n’a pas été décidé par la majorité des français car il faut tenir trente ans et résister aux éventuelles alternances politiques. On a vu que 62 à 68% des français sont déjà en dessous de la moyenne nationale et sont </w:t>
      </w:r>
      <w:r w:rsidRPr="00B801B4">
        <w:rPr>
          <w:rFonts w:ascii="Times New Roman" w:hAnsi="Times New Roman" w:cs="Times New Roman"/>
          <w:i/>
          <w:sz w:val="24"/>
          <w:szCs w:val="20"/>
          <w:lang w:eastAsia="fr-FR"/>
        </w:rPr>
        <w:t>de facto</w:t>
      </w:r>
      <w:r>
        <w:rPr>
          <w:rFonts w:ascii="Times New Roman" w:hAnsi="Times New Roman" w:cs="Times New Roman"/>
          <w:sz w:val="24"/>
          <w:szCs w:val="20"/>
          <w:lang w:eastAsia="fr-FR"/>
        </w:rPr>
        <w:t xml:space="preserve"> excédentaires avec la dotation de 9000 Ͼ. Cela donne-t-il une majorité si on consulte avec les meilleures questions ? des propositions de questions emboitées ont déjà été formulées</w:t>
      </w:r>
      <w:r>
        <w:rPr>
          <w:rStyle w:val="Appelnotedebasdep"/>
          <w:rFonts w:ascii="Times New Roman" w:hAnsi="Times New Roman" w:cs="Times New Roman"/>
          <w:sz w:val="24"/>
          <w:szCs w:val="20"/>
          <w:lang w:eastAsia="fr-FR"/>
        </w:rPr>
        <w:footnoteReference w:id="18"/>
      </w:r>
      <w:r>
        <w:rPr>
          <w:rFonts w:ascii="Times New Roman" w:hAnsi="Times New Roman" w:cs="Times New Roman"/>
          <w:sz w:val="24"/>
          <w:szCs w:val="20"/>
          <w:lang w:eastAsia="fr-FR"/>
        </w:rPr>
        <w:t>… mais comment faire advenir une telle consultation ? aux lecteurs de réagir comme à l’accoutumée, merci d’avance.</w:t>
      </w:r>
      <w:r w:rsidR="00775DCD">
        <w:rPr>
          <w:rFonts w:ascii="Times New Roman" w:hAnsi="Times New Roman" w:cs="Times New Roman"/>
          <w:sz w:val="24"/>
          <w:szCs w:val="20"/>
          <w:lang w:eastAsia="fr-FR"/>
        </w:rPr>
        <w:t xml:space="preserve"> Car il nous faut garder la planète habitable pour nos enfants et petits-enfants, les scientifiques</w:t>
      </w:r>
      <w:r w:rsidR="00EE7384">
        <w:rPr>
          <w:rStyle w:val="Appelnotedebasdep"/>
          <w:rFonts w:ascii="Times New Roman" w:hAnsi="Times New Roman" w:cs="Times New Roman"/>
          <w:sz w:val="24"/>
          <w:szCs w:val="20"/>
          <w:lang w:eastAsia="fr-FR"/>
        </w:rPr>
        <w:footnoteReference w:id="19"/>
      </w:r>
      <w:r w:rsidR="00775DCD">
        <w:rPr>
          <w:rFonts w:ascii="Times New Roman" w:hAnsi="Times New Roman" w:cs="Times New Roman"/>
          <w:sz w:val="24"/>
          <w:szCs w:val="20"/>
          <w:lang w:eastAsia="fr-FR"/>
        </w:rPr>
        <w:t xml:space="preserve"> ont documenté l’emballement climatique devenant complètement instable au-delà de 2°C de réchauffement planétaire.</w:t>
      </w:r>
    </w:p>
    <w:p w:rsidR="001731C3" w:rsidRDefault="001731C3" w:rsidP="00BC01E4">
      <w:pPr>
        <w:pBdr>
          <w:bottom w:val="dotted" w:sz="24" w:space="1" w:color="auto"/>
        </w:pBdr>
        <w:spacing w:before="100" w:beforeAutospacing="1" w:after="100" w:afterAutospacing="1"/>
        <w:rPr>
          <w:rFonts w:ascii="Times New Roman" w:hAnsi="Times New Roman" w:cs="Times New Roman"/>
          <w:sz w:val="24"/>
          <w:szCs w:val="20"/>
          <w:lang w:eastAsia="fr-FR"/>
        </w:rPr>
      </w:pPr>
      <w:r>
        <w:rPr>
          <w:rFonts w:ascii="Times New Roman" w:hAnsi="Times New Roman" w:cs="Times New Roman"/>
          <w:sz w:val="24"/>
          <w:szCs w:val="20"/>
          <w:lang w:eastAsia="fr-FR"/>
        </w:rPr>
        <w:t xml:space="preserve">Signé Armel Prieur, président de l’association pour l’emploi sans carbone, la première des </w:t>
      </w:r>
      <w:hyperlink r:id="rId11" w:history="1">
        <w:r w:rsidRPr="00876E0B">
          <w:rPr>
            <w:rStyle w:val="Lienhypertexte"/>
            <w:rFonts w:ascii="Times New Roman" w:hAnsi="Times New Roman" w:cs="Times New Roman"/>
            <w:sz w:val="24"/>
            <w:szCs w:val="20"/>
            <w:lang w:eastAsia="fr-FR"/>
          </w:rPr>
          <w:t>alliées</w:t>
        </w:r>
      </w:hyperlink>
      <w:r>
        <w:rPr>
          <w:rFonts w:ascii="Times New Roman" w:hAnsi="Times New Roman" w:cs="Times New Roman"/>
          <w:sz w:val="24"/>
          <w:szCs w:val="20"/>
          <w:lang w:eastAsia="fr-FR"/>
        </w:rPr>
        <w:t xml:space="preserve"> du compte carbone</w:t>
      </w:r>
    </w:p>
    <w:p w:rsidR="00E96FCA" w:rsidRDefault="00E96FCA" w:rsidP="00BC01E4">
      <w:pPr>
        <w:pBdr>
          <w:bottom w:val="dotted" w:sz="24" w:space="1" w:color="auto"/>
        </w:pBdr>
        <w:spacing w:before="100" w:beforeAutospacing="1" w:after="100" w:afterAutospacing="1"/>
        <w:rPr>
          <w:rFonts w:ascii="Times New Roman" w:hAnsi="Times New Roman" w:cs="Times New Roman"/>
          <w:sz w:val="24"/>
          <w:szCs w:val="20"/>
          <w:lang w:eastAsia="fr-FR"/>
        </w:rPr>
      </w:pPr>
    </w:p>
    <w:p w:rsidR="00BC01E4" w:rsidRDefault="006A30AF" w:rsidP="00675E06">
      <w:pPr>
        <w:pBdr>
          <w:bottom w:val="dotted" w:sz="24" w:space="1" w:color="auto"/>
        </w:pBdr>
        <w:spacing w:before="100" w:beforeAutospacing="1" w:after="100" w:afterAutospacing="1"/>
        <w:jc w:val="center"/>
        <w:rPr>
          <w:rFonts w:ascii="Times New Roman" w:hAnsi="Times New Roman" w:cs="Times New Roman"/>
          <w:sz w:val="24"/>
          <w:szCs w:val="20"/>
          <w:lang w:eastAsia="fr-FR"/>
        </w:rPr>
      </w:pPr>
      <w:r>
        <w:rPr>
          <w:rFonts w:ascii="Times New Roman" w:hAnsi="Times New Roman" w:cs="Times New Roman"/>
          <w:noProof/>
          <w:sz w:val="24"/>
          <w:szCs w:val="20"/>
          <w:lang w:eastAsia="fr-FR"/>
        </w:rPr>
        <w:drawing>
          <wp:inline distT="0" distB="0" distL="0" distR="0">
            <wp:extent cx="1638300" cy="16611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CompteCarbone.JPG"/>
                    <pic:cNvPicPr/>
                  </pic:nvPicPr>
                  <pic:blipFill>
                    <a:blip r:embed="rId12">
                      <a:extLst>
                        <a:ext uri="{28A0092B-C50C-407E-A947-70E740481C1C}">
                          <a14:useLocalDpi xmlns:a14="http://schemas.microsoft.com/office/drawing/2010/main" val="0"/>
                        </a:ext>
                      </a:extLst>
                    </a:blip>
                    <a:stretch>
                      <a:fillRect/>
                    </a:stretch>
                  </pic:blipFill>
                  <pic:spPr>
                    <a:xfrm>
                      <a:off x="0" y="0"/>
                      <a:ext cx="1638300" cy="1661160"/>
                    </a:xfrm>
                    <a:prstGeom prst="rect">
                      <a:avLst/>
                    </a:prstGeom>
                  </pic:spPr>
                </pic:pic>
              </a:graphicData>
            </a:graphic>
          </wp:inline>
        </w:drawing>
      </w:r>
      <w:bookmarkStart w:id="0" w:name="_GoBack"/>
      <w:bookmarkEnd w:id="0"/>
    </w:p>
    <w:sectPr w:rsidR="00BC01E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7B8" w:rsidRDefault="00EF47B8" w:rsidP="000762AE">
      <w:pPr>
        <w:spacing w:after="0" w:line="240" w:lineRule="auto"/>
      </w:pPr>
      <w:r>
        <w:separator/>
      </w:r>
    </w:p>
  </w:endnote>
  <w:endnote w:type="continuationSeparator" w:id="0">
    <w:p w:rsidR="00EF47B8" w:rsidRDefault="00EF47B8" w:rsidP="0007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iko Fallback">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568" w:rsidRDefault="006A05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639228"/>
      <w:docPartObj>
        <w:docPartGallery w:val="Page Numbers (Bottom of Page)"/>
        <w:docPartUnique/>
      </w:docPartObj>
    </w:sdtPr>
    <w:sdtEndPr/>
    <w:sdtContent>
      <w:p w:rsidR="006A0568" w:rsidRDefault="006A0568">
        <w:pPr>
          <w:pStyle w:val="Pieddepage"/>
          <w:jc w:val="center"/>
        </w:pPr>
        <w:r>
          <w:fldChar w:fldCharType="begin"/>
        </w:r>
        <w:r>
          <w:instrText>PAGE   \* MERGEFORMAT</w:instrText>
        </w:r>
        <w:r>
          <w:fldChar w:fldCharType="separate"/>
        </w:r>
        <w:r>
          <w:t>2</w:t>
        </w:r>
        <w:r>
          <w:fldChar w:fldCharType="end"/>
        </w:r>
      </w:p>
    </w:sdtContent>
  </w:sdt>
  <w:p w:rsidR="006A0568" w:rsidRDefault="006A05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568" w:rsidRDefault="006A05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7B8" w:rsidRDefault="00EF47B8" w:rsidP="000762AE">
      <w:pPr>
        <w:spacing w:after="0" w:line="240" w:lineRule="auto"/>
      </w:pPr>
      <w:r>
        <w:separator/>
      </w:r>
    </w:p>
  </w:footnote>
  <w:footnote w:type="continuationSeparator" w:id="0">
    <w:p w:rsidR="00EF47B8" w:rsidRDefault="00EF47B8" w:rsidP="000762AE">
      <w:pPr>
        <w:spacing w:after="0" w:line="240" w:lineRule="auto"/>
      </w:pPr>
      <w:r>
        <w:continuationSeparator/>
      </w:r>
    </w:p>
  </w:footnote>
  <w:footnote w:id="1">
    <w:p w:rsidR="002B584E" w:rsidRDefault="002B584E" w:rsidP="002B584E">
      <w:pPr>
        <w:pStyle w:val="Notedebasdepage"/>
      </w:pPr>
      <w:r>
        <w:rPr>
          <w:rStyle w:val="Appelnotedebasdep"/>
        </w:rPr>
        <w:footnoteRef/>
      </w:r>
      <w:r>
        <w:t xml:space="preserve"> </w:t>
      </w:r>
      <w:proofErr w:type="gramStart"/>
      <w:r w:rsidRPr="000762AE">
        <w:t>rapport</w:t>
      </w:r>
      <w:proofErr w:type="gramEnd"/>
      <w:r w:rsidRPr="000762AE">
        <w:t xml:space="preserve"> Forster 8juin2023 </w:t>
      </w:r>
      <w:hyperlink r:id="rId1" w:history="1">
        <w:r w:rsidRPr="00EA01EE">
          <w:rPr>
            <w:rStyle w:val="Lienhypertexte"/>
          </w:rPr>
          <w:t>https://urlz.fr/mlhD</w:t>
        </w:r>
      </w:hyperlink>
      <w:r>
        <w:t xml:space="preserve"> </w:t>
      </w:r>
    </w:p>
  </w:footnote>
  <w:footnote w:id="2">
    <w:p w:rsidR="002B584E" w:rsidRDefault="002B584E" w:rsidP="002B584E">
      <w:pPr>
        <w:pStyle w:val="Notedebasdepage"/>
      </w:pPr>
      <w:r>
        <w:rPr>
          <w:rStyle w:val="Appelnotedebasdep"/>
        </w:rPr>
        <w:footnoteRef/>
      </w:r>
      <w:r>
        <w:t xml:space="preserve"> Selon le « Emissions Gap Report 2024 » des Nations unies rapporté par Matthieu Goar dans le Monde le 24-10-2024</w:t>
      </w:r>
    </w:p>
  </w:footnote>
  <w:footnote w:id="3">
    <w:p w:rsidR="002B584E" w:rsidRDefault="002B584E" w:rsidP="002B584E">
      <w:pPr>
        <w:pStyle w:val="Notedebasdepage"/>
      </w:pPr>
      <w:r>
        <w:rPr>
          <w:rStyle w:val="Appelnotedebasdep"/>
        </w:rPr>
        <w:footnoteRef/>
      </w:r>
      <w:r>
        <w:t xml:space="preserve"> On trouve aussi 39 dans la littérature mais sans compter les 4Gt de transformation végétale LULUCF</w:t>
      </w:r>
    </w:p>
  </w:footnote>
  <w:footnote w:id="4">
    <w:p w:rsidR="002B584E" w:rsidRDefault="002B584E" w:rsidP="002B584E">
      <w:pPr>
        <w:pStyle w:val="Notedebasdepage"/>
      </w:pPr>
      <w:r>
        <w:rPr>
          <w:rStyle w:val="Appelnotedebasdep"/>
        </w:rPr>
        <w:footnoteRef/>
      </w:r>
      <w:r>
        <w:t xml:space="preserve"> </w:t>
      </w:r>
      <w:hyperlink r:id="rId2" w:history="1">
        <w:r>
          <w:rPr>
            <w:rStyle w:val="Lienhypertexte"/>
          </w:rPr>
          <w:t>Infographic_Emissions2021.pdf (globalcarbonproject.org)</w:t>
        </w:r>
      </w:hyperlink>
    </w:p>
  </w:footnote>
  <w:footnote w:id="5">
    <w:p w:rsidR="002B584E" w:rsidRDefault="002B584E" w:rsidP="002B584E">
      <w:r>
        <w:rPr>
          <w:rStyle w:val="Appelnotedebasdep"/>
        </w:rPr>
        <w:footnoteRef/>
      </w:r>
      <w:r>
        <w:t xml:space="preserve"> </w:t>
      </w:r>
      <w:hyperlink r:id="rId3" w:history="1">
        <w:r w:rsidRPr="00487B0E">
          <w:rPr>
            <w:rStyle w:val="Lienhypertexte"/>
          </w:rPr>
          <w:t>https://www.hautconseilclimat.fr/wp-content/uploads/2024/06/HCC_RA_2024-web-1.pdf</w:t>
        </w:r>
      </w:hyperlink>
      <w:r>
        <w:t xml:space="preserve"> page 66</w:t>
      </w:r>
    </w:p>
  </w:footnote>
  <w:footnote w:id="6">
    <w:p w:rsidR="00A46D6E" w:rsidRPr="009B49BB" w:rsidRDefault="00A46D6E">
      <w:pPr>
        <w:pStyle w:val="Notedebasdepage"/>
      </w:pPr>
      <w:r>
        <w:rPr>
          <w:rStyle w:val="Appelnotedebasdep"/>
        </w:rPr>
        <w:footnoteRef/>
      </w:r>
      <w:r w:rsidRPr="009B49BB">
        <w:t xml:space="preserve"> Albert O. Hirschman “</w:t>
      </w:r>
      <w:r>
        <w:t>L</w:t>
      </w:r>
      <w:r w:rsidRPr="009B49BB">
        <w:t>es pas</w:t>
      </w:r>
      <w:r>
        <w:t>sions et les intérêts -quel capitalisme avant son triomphe » éditions Presses Universitaires de France 1997</w:t>
      </w:r>
    </w:p>
  </w:footnote>
  <w:footnote w:id="7">
    <w:p w:rsidR="00A46D6E" w:rsidRPr="00642FC9" w:rsidRDefault="00A46D6E">
      <w:pPr>
        <w:pStyle w:val="Notedebasdepage"/>
      </w:pPr>
      <w:r>
        <w:rPr>
          <w:rStyle w:val="Appelnotedebasdep"/>
        </w:rPr>
        <w:footnoteRef/>
      </w:r>
      <w:r w:rsidRPr="00642FC9">
        <w:t xml:space="preserve"> </w:t>
      </w:r>
      <w:hyperlink r:id="rId4" w:history="1">
        <w:r w:rsidRPr="00642FC9">
          <w:rPr>
            <w:rStyle w:val="Lienhypertexte"/>
          </w:rPr>
          <w:t>https://wid.world/</w:t>
        </w:r>
      </w:hyperlink>
      <w:r w:rsidRPr="00642FC9">
        <w:t xml:space="preserve"> </w:t>
      </w:r>
    </w:p>
  </w:footnote>
  <w:footnote w:id="8">
    <w:p w:rsidR="00A46D6E" w:rsidRDefault="00A46D6E">
      <w:pPr>
        <w:pStyle w:val="Notedebasdepage"/>
      </w:pPr>
      <w:r>
        <w:rPr>
          <w:rStyle w:val="Appelnotedebasdep"/>
        </w:rPr>
        <w:footnoteRef/>
      </w:r>
      <w:r>
        <w:t xml:space="preserve"> </w:t>
      </w:r>
      <w:hyperlink r:id="rId5" w:history="1">
        <w:r w:rsidRPr="00EA01EE">
          <w:rPr>
            <w:rStyle w:val="Lienhypertexte"/>
          </w:rPr>
          <w:t>http://www.chair-energy-prosperity.org/category/chercheurs-associes/antonin-pottier/</w:t>
        </w:r>
      </w:hyperlink>
      <w:r>
        <w:t xml:space="preserve"> </w:t>
      </w:r>
    </w:p>
  </w:footnote>
  <w:footnote w:id="9">
    <w:p w:rsidR="00A46D6E" w:rsidRDefault="00A46D6E">
      <w:pPr>
        <w:pStyle w:val="Notedebasdepage"/>
      </w:pPr>
      <w:r>
        <w:rPr>
          <w:rStyle w:val="Appelnotedebasdep"/>
        </w:rPr>
        <w:footnoteRef/>
      </w:r>
      <w:r>
        <w:t xml:space="preserve"> </w:t>
      </w:r>
      <w:hyperlink r:id="rId6" w:history="1">
        <w:r w:rsidRPr="00EA01EE">
          <w:rPr>
            <w:rStyle w:val="Lienhypertexte"/>
          </w:rPr>
          <w:t>https://hidrive.ionos.com/lnk/pUqg4usG</w:t>
        </w:r>
      </w:hyperlink>
      <w:r>
        <w:t xml:space="preserve"> </w:t>
      </w:r>
    </w:p>
  </w:footnote>
  <w:footnote w:id="10">
    <w:p w:rsidR="00A46D6E" w:rsidRDefault="00A46D6E">
      <w:pPr>
        <w:pStyle w:val="Notedebasdepage"/>
      </w:pPr>
      <w:r>
        <w:rPr>
          <w:rStyle w:val="Appelnotedebasdep"/>
        </w:rPr>
        <w:footnoteRef/>
      </w:r>
      <w:r>
        <w:t xml:space="preserve"> </w:t>
      </w:r>
      <w:hyperlink r:id="rId7" w:history="1">
        <w:r w:rsidRPr="00EA01EE">
          <w:rPr>
            <w:rStyle w:val="Lienhypertexte"/>
            <w:rFonts w:ascii="Amiko Fallback" w:hAnsi="Amiko Fallback"/>
            <w:sz w:val="23"/>
            <w:szCs w:val="23"/>
            <w:shd w:val="clear" w:color="auto" w:fill="FFFFFF"/>
          </w:rPr>
          <w:t>http://www.theses.fr/2014PA010540</w:t>
        </w:r>
      </w:hyperlink>
      <w:r>
        <w:rPr>
          <w:rFonts w:ascii="Amiko Fallback" w:hAnsi="Amiko Fallback"/>
          <w:color w:val="111111"/>
          <w:sz w:val="23"/>
          <w:szCs w:val="23"/>
          <w:shd w:val="clear" w:color="auto" w:fill="FFFFFF"/>
        </w:rPr>
        <w:t xml:space="preserve"> </w:t>
      </w:r>
    </w:p>
  </w:footnote>
  <w:footnote w:id="11">
    <w:p w:rsidR="00A46D6E" w:rsidRDefault="00A46D6E">
      <w:pPr>
        <w:pStyle w:val="Notedebasdepage"/>
      </w:pPr>
      <w:r>
        <w:rPr>
          <w:rStyle w:val="Appelnotedebasdep"/>
        </w:rPr>
        <w:footnoteRef/>
      </w:r>
      <w:r>
        <w:t xml:space="preserve"> </w:t>
      </w:r>
      <w:hyperlink r:id="rId8" w:history="1">
        <w:r w:rsidRPr="00EA01EE">
          <w:rPr>
            <w:rStyle w:val="Lienhypertexte"/>
          </w:rPr>
          <w:t>https://fr.wikipedia.org/wiki/Compte_carbone</w:t>
        </w:r>
      </w:hyperlink>
      <w:r>
        <w:t xml:space="preserve"> </w:t>
      </w:r>
    </w:p>
  </w:footnote>
  <w:footnote w:id="12">
    <w:p w:rsidR="00A46D6E" w:rsidRDefault="00A46D6E">
      <w:pPr>
        <w:pStyle w:val="Notedebasdepage"/>
      </w:pPr>
      <w:r>
        <w:rPr>
          <w:rStyle w:val="Appelnotedebasdep"/>
        </w:rPr>
        <w:footnoteRef/>
      </w:r>
      <w:r>
        <w:t xml:space="preserve"> </w:t>
      </w:r>
      <w:hyperlink r:id="rId9" w:anchor=":~:text=Dans%20le%20cadre%20du%20projet,compter%20du%201er%20septembre%202026" w:history="1">
        <w:r w:rsidRPr="00EA01EE">
          <w:rPr>
            <w:rStyle w:val="Lienhypertexte"/>
          </w:rPr>
          <w:t>https://www.economie.gouv.fr/cedef/facturation-electronique-entreprises#:~:text=Dans%20le%20cadre%20du%20projet,compter%20du%201er%20septembre%202026</w:t>
        </w:r>
      </w:hyperlink>
      <w:r w:rsidRPr="00EF667C">
        <w:t>.</w:t>
      </w:r>
      <w:r>
        <w:t xml:space="preserve"> </w:t>
      </w:r>
    </w:p>
  </w:footnote>
  <w:footnote w:id="13">
    <w:p w:rsidR="00A46D6E" w:rsidRDefault="00A46D6E">
      <w:pPr>
        <w:pStyle w:val="Notedebasdepage"/>
      </w:pPr>
      <w:r>
        <w:rPr>
          <w:rStyle w:val="Appelnotedebasdep"/>
        </w:rPr>
        <w:footnoteRef/>
      </w:r>
      <w:r>
        <w:rPr>
          <w:rStyle w:val="Appelnotedebasdep"/>
        </w:rPr>
        <w:footnoteRef/>
      </w:r>
      <w:r>
        <w:t xml:space="preserve"> </w:t>
      </w:r>
      <w:hyperlink r:id="rId10" w:history="1">
        <w:r w:rsidRPr="00EA01EE">
          <w:rPr>
            <w:rStyle w:val="Lienhypertexte"/>
          </w:rPr>
          <w:t>https://urlz.fr/p20b</w:t>
        </w:r>
      </w:hyperlink>
      <w:r>
        <w:t xml:space="preserve"> </w:t>
      </w:r>
    </w:p>
  </w:footnote>
  <w:footnote w:id="14">
    <w:p w:rsidR="00A46D6E" w:rsidRDefault="00A46D6E">
      <w:pPr>
        <w:pStyle w:val="Notedebasdepage"/>
      </w:pPr>
      <w:r>
        <w:rPr>
          <w:rStyle w:val="Appelnotedebasdep"/>
        </w:rPr>
        <w:footnoteRef/>
      </w:r>
      <w:r>
        <w:t xml:space="preserve"> Les fiches de déclaration environnementale et sanitaire FDES se répartissent en 3 groupes dans la loi RE 2020 : </w:t>
      </w:r>
      <w:r w:rsidRPr="008F3D0E">
        <w:t xml:space="preserve">les FDES individuelles qui portent sur un produit précis, les FDES collectives réalisées par un syndicat ou une fédération sur un type de matériel (une fermette en bois, un voile de béton, une charpente métallique, etc.) et, en l'absence de FDES, des données environnementales par défaut (DED), dont </w:t>
      </w:r>
      <w:proofErr w:type="gramStart"/>
      <w:r w:rsidRPr="008F3D0E">
        <w:t>les valeurs carbone</w:t>
      </w:r>
      <w:proofErr w:type="gramEnd"/>
      <w:r w:rsidRPr="008F3D0E">
        <w:t xml:space="preserve"> sont pénalisantes.</w:t>
      </w:r>
    </w:p>
  </w:footnote>
  <w:footnote w:id="15">
    <w:p w:rsidR="000F376B" w:rsidRDefault="000F376B">
      <w:pPr>
        <w:pStyle w:val="Notedebasdepage"/>
      </w:pPr>
      <w:r>
        <w:rPr>
          <w:rStyle w:val="Appelnotedebasdep"/>
        </w:rPr>
        <w:footnoteRef/>
      </w:r>
      <w:r>
        <w:t xml:space="preserve"> </w:t>
      </w:r>
      <w:hyperlink r:id="rId11" w:history="1">
        <w:r w:rsidRPr="00395A63">
          <w:rPr>
            <w:rStyle w:val="Lienhypertexte"/>
          </w:rPr>
          <w:t>https://lejournal.info/article/carbone-deux-tonnes-de-confort/</w:t>
        </w:r>
      </w:hyperlink>
      <w:r>
        <w:t xml:space="preserve"> </w:t>
      </w:r>
    </w:p>
  </w:footnote>
  <w:footnote w:id="16">
    <w:p w:rsidR="00A46D6E" w:rsidRDefault="00A46D6E">
      <w:pPr>
        <w:pStyle w:val="Notedebasdepage"/>
      </w:pPr>
      <w:r>
        <w:rPr>
          <w:rStyle w:val="Appelnotedebasdep"/>
        </w:rPr>
        <w:footnoteRef/>
      </w:r>
      <w:r>
        <w:t xml:space="preserve"> </w:t>
      </w:r>
      <w:hyperlink r:id="rId12" w:history="1">
        <w:r w:rsidRPr="00EA01EE">
          <w:rPr>
            <w:rStyle w:val="Lienhypertexte"/>
          </w:rPr>
          <w:t>https://comptecarbone.cc/wp-content/uploads/2022/06/Mecanisme-de-surquotas-pour-familles-en-difficulte.docx</w:t>
        </w:r>
      </w:hyperlink>
      <w:r>
        <w:t xml:space="preserve"> </w:t>
      </w:r>
    </w:p>
  </w:footnote>
  <w:footnote w:id="17">
    <w:p w:rsidR="00A46D6E" w:rsidRDefault="00A46D6E">
      <w:pPr>
        <w:pStyle w:val="Notedebasdepage"/>
      </w:pPr>
      <w:r>
        <w:rPr>
          <w:rStyle w:val="Appelnotedebasdep"/>
        </w:rPr>
        <w:footnoteRef/>
      </w:r>
      <w:r>
        <w:t xml:space="preserve"> </w:t>
      </w:r>
      <w:hyperlink r:id="rId13" w:history="1">
        <w:r w:rsidR="00C71D88" w:rsidRPr="00395A63">
          <w:rPr>
            <w:rStyle w:val="Lienhypertexte"/>
          </w:rPr>
          <w:t>https://comptecarbone.cc/wp-content/uploads/2025/03/Recit-comptecarbone.pdf</w:t>
        </w:r>
      </w:hyperlink>
      <w:r w:rsidR="00C71D88">
        <w:t xml:space="preserve"> </w:t>
      </w:r>
    </w:p>
  </w:footnote>
  <w:footnote w:id="18">
    <w:p w:rsidR="00A46D6E" w:rsidRDefault="00A46D6E">
      <w:pPr>
        <w:pStyle w:val="Notedebasdepage"/>
      </w:pPr>
      <w:r>
        <w:rPr>
          <w:rStyle w:val="Appelnotedebasdep"/>
        </w:rPr>
        <w:footnoteRef/>
      </w:r>
      <w:r>
        <w:t xml:space="preserve"> </w:t>
      </w:r>
      <w:hyperlink r:id="rId14" w:history="1">
        <w:r w:rsidR="000F376B" w:rsidRPr="00395A63">
          <w:rPr>
            <w:rStyle w:val="Lienhypertexte"/>
          </w:rPr>
          <w:t>http://www.altercroissance.fr/1.html</w:t>
        </w:r>
      </w:hyperlink>
      <w:r w:rsidR="000F376B">
        <w:t xml:space="preserve"> </w:t>
      </w:r>
    </w:p>
  </w:footnote>
  <w:footnote w:id="19">
    <w:p w:rsidR="00A46D6E" w:rsidRDefault="00A46D6E">
      <w:pPr>
        <w:pStyle w:val="Notedebasdepage"/>
      </w:pPr>
      <w:r>
        <w:rPr>
          <w:rStyle w:val="Appelnotedebasdep"/>
        </w:rPr>
        <w:footnoteRef/>
      </w:r>
      <w:r>
        <w:t xml:space="preserve"> </w:t>
      </w:r>
      <w:hyperlink r:id="rId15" w:history="1">
        <w:r w:rsidRPr="00EA01EE">
          <w:rPr>
            <w:rStyle w:val="Lienhypertexte"/>
          </w:rPr>
          <w:t>https://comptecarbone.cc/wp-content/uploads/2022/06/Steffen.pdf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568" w:rsidRDefault="006A05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568" w:rsidRDefault="006A05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568" w:rsidRDefault="006A056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05"/>
    <w:rsid w:val="000523B8"/>
    <w:rsid w:val="00056A06"/>
    <w:rsid w:val="000762AE"/>
    <w:rsid w:val="000C1955"/>
    <w:rsid w:val="000F376B"/>
    <w:rsid w:val="00103119"/>
    <w:rsid w:val="00167E67"/>
    <w:rsid w:val="001731C3"/>
    <w:rsid w:val="001C1234"/>
    <w:rsid w:val="001D2F7D"/>
    <w:rsid w:val="0023633B"/>
    <w:rsid w:val="00264DB9"/>
    <w:rsid w:val="0027146E"/>
    <w:rsid w:val="00284FE9"/>
    <w:rsid w:val="002B5810"/>
    <w:rsid w:val="002B584E"/>
    <w:rsid w:val="002F1C11"/>
    <w:rsid w:val="003417E8"/>
    <w:rsid w:val="00364B95"/>
    <w:rsid w:val="00393125"/>
    <w:rsid w:val="003A5DF6"/>
    <w:rsid w:val="00401139"/>
    <w:rsid w:val="004131F2"/>
    <w:rsid w:val="004B0F05"/>
    <w:rsid w:val="00504013"/>
    <w:rsid w:val="005108B3"/>
    <w:rsid w:val="00535B46"/>
    <w:rsid w:val="005575A2"/>
    <w:rsid w:val="00573F80"/>
    <w:rsid w:val="005C3F73"/>
    <w:rsid w:val="00642FC9"/>
    <w:rsid w:val="00644A4A"/>
    <w:rsid w:val="00654995"/>
    <w:rsid w:val="00675E06"/>
    <w:rsid w:val="006A0568"/>
    <w:rsid w:val="006A18DE"/>
    <w:rsid w:val="006A30AF"/>
    <w:rsid w:val="006C2882"/>
    <w:rsid w:val="00703B4C"/>
    <w:rsid w:val="0077011E"/>
    <w:rsid w:val="00775DCD"/>
    <w:rsid w:val="007E1832"/>
    <w:rsid w:val="007F74E8"/>
    <w:rsid w:val="00816DFB"/>
    <w:rsid w:val="00853AC8"/>
    <w:rsid w:val="0086084E"/>
    <w:rsid w:val="00876E0B"/>
    <w:rsid w:val="00882356"/>
    <w:rsid w:val="00887321"/>
    <w:rsid w:val="008E4C01"/>
    <w:rsid w:val="008F3D0E"/>
    <w:rsid w:val="008F45C5"/>
    <w:rsid w:val="009273DA"/>
    <w:rsid w:val="00971929"/>
    <w:rsid w:val="009939BA"/>
    <w:rsid w:val="009A1FC4"/>
    <w:rsid w:val="009B49BB"/>
    <w:rsid w:val="009E0B35"/>
    <w:rsid w:val="00A46D6E"/>
    <w:rsid w:val="00A571E7"/>
    <w:rsid w:val="00A652E5"/>
    <w:rsid w:val="00A73531"/>
    <w:rsid w:val="00AA4F3B"/>
    <w:rsid w:val="00B318D7"/>
    <w:rsid w:val="00B474AC"/>
    <w:rsid w:val="00B65487"/>
    <w:rsid w:val="00B801B4"/>
    <w:rsid w:val="00B8065D"/>
    <w:rsid w:val="00B9685B"/>
    <w:rsid w:val="00BC01E4"/>
    <w:rsid w:val="00BC36B5"/>
    <w:rsid w:val="00C718AD"/>
    <w:rsid w:val="00C71D88"/>
    <w:rsid w:val="00CB510B"/>
    <w:rsid w:val="00CE24A3"/>
    <w:rsid w:val="00D34E39"/>
    <w:rsid w:val="00D443CB"/>
    <w:rsid w:val="00DB6EA2"/>
    <w:rsid w:val="00DC4E48"/>
    <w:rsid w:val="00DC72FE"/>
    <w:rsid w:val="00DF6191"/>
    <w:rsid w:val="00E34393"/>
    <w:rsid w:val="00E40691"/>
    <w:rsid w:val="00E502A5"/>
    <w:rsid w:val="00E7723D"/>
    <w:rsid w:val="00E8534A"/>
    <w:rsid w:val="00E96FCA"/>
    <w:rsid w:val="00EE7384"/>
    <w:rsid w:val="00EF47B8"/>
    <w:rsid w:val="00EF667C"/>
    <w:rsid w:val="00F03DA9"/>
    <w:rsid w:val="00F22358"/>
    <w:rsid w:val="00F8460F"/>
    <w:rsid w:val="00F90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98AE"/>
  <w15:chartTrackingRefBased/>
  <w15:docId w15:val="{C6F66AE9-5523-4EFB-90AD-6E1D7CC8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882356"/>
    <w:pPr>
      <w:spacing w:before="280" w:after="142" w:line="276"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762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62AE"/>
    <w:rPr>
      <w:sz w:val="20"/>
      <w:szCs w:val="20"/>
    </w:rPr>
  </w:style>
  <w:style w:type="character" w:styleId="Appelnotedebasdep">
    <w:name w:val="footnote reference"/>
    <w:basedOn w:val="Policepardfaut"/>
    <w:uiPriority w:val="99"/>
    <w:semiHidden/>
    <w:unhideWhenUsed/>
    <w:rsid w:val="000762AE"/>
    <w:rPr>
      <w:vertAlign w:val="superscript"/>
    </w:rPr>
  </w:style>
  <w:style w:type="character" w:styleId="Lienhypertexte">
    <w:name w:val="Hyperlink"/>
    <w:basedOn w:val="Policepardfaut"/>
    <w:uiPriority w:val="99"/>
    <w:unhideWhenUsed/>
    <w:rsid w:val="000762AE"/>
    <w:rPr>
      <w:color w:val="0563C1" w:themeColor="hyperlink"/>
      <w:u w:val="single"/>
    </w:rPr>
  </w:style>
  <w:style w:type="character" w:styleId="Mentionnonrsolue">
    <w:name w:val="Unresolved Mention"/>
    <w:basedOn w:val="Policepardfaut"/>
    <w:uiPriority w:val="99"/>
    <w:semiHidden/>
    <w:unhideWhenUsed/>
    <w:rsid w:val="000762AE"/>
    <w:rPr>
      <w:color w:val="605E5C"/>
      <w:shd w:val="clear" w:color="auto" w:fill="E1DFDD"/>
    </w:rPr>
  </w:style>
  <w:style w:type="paragraph" w:styleId="Textedebulles">
    <w:name w:val="Balloon Text"/>
    <w:basedOn w:val="Normal"/>
    <w:link w:val="TextedebullesCar"/>
    <w:uiPriority w:val="99"/>
    <w:semiHidden/>
    <w:unhideWhenUsed/>
    <w:rsid w:val="006A05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568"/>
    <w:rPr>
      <w:rFonts w:ascii="Segoe UI" w:hAnsi="Segoe UI" w:cs="Segoe UI"/>
      <w:sz w:val="18"/>
      <w:szCs w:val="18"/>
    </w:rPr>
  </w:style>
  <w:style w:type="paragraph" w:styleId="En-tte">
    <w:name w:val="header"/>
    <w:basedOn w:val="Normal"/>
    <w:link w:val="En-tteCar"/>
    <w:uiPriority w:val="99"/>
    <w:unhideWhenUsed/>
    <w:rsid w:val="006A0568"/>
    <w:pPr>
      <w:tabs>
        <w:tab w:val="center" w:pos="4536"/>
        <w:tab w:val="right" w:pos="9072"/>
      </w:tabs>
      <w:spacing w:after="0" w:line="240" w:lineRule="auto"/>
    </w:pPr>
  </w:style>
  <w:style w:type="character" w:customStyle="1" w:styleId="En-tteCar">
    <w:name w:val="En-tête Car"/>
    <w:basedOn w:val="Policepardfaut"/>
    <w:link w:val="En-tte"/>
    <w:uiPriority w:val="99"/>
    <w:rsid w:val="006A0568"/>
  </w:style>
  <w:style w:type="paragraph" w:styleId="Pieddepage">
    <w:name w:val="footer"/>
    <w:basedOn w:val="Normal"/>
    <w:link w:val="PieddepageCar"/>
    <w:uiPriority w:val="99"/>
    <w:unhideWhenUsed/>
    <w:rsid w:val="006A0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mptecarbone.cc/all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gencecarbone.fr/objec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ptecarbone.cc/faq"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Compte_carbone" TargetMode="External"/><Relationship Id="rId13" Type="http://schemas.openxmlformats.org/officeDocument/2006/relationships/hyperlink" Target="https://comptecarbone.cc/wp-content/uploads/2025/03/Recit-comptecarbone.pdf" TargetMode="External"/><Relationship Id="rId3" Type="http://schemas.openxmlformats.org/officeDocument/2006/relationships/hyperlink" Target="https://www.hautconseilclimat.fr/wp-content/uploads/2024/06/HCC_RA_2024-web-1.pdf" TargetMode="External"/><Relationship Id="rId7" Type="http://schemas.openxmlformats.org/officeDocument/2006/relationships/hyperlink" Target="http://www.theses.fr/2014PA010540" TargetMode="External"/><Relationship Id="rId12" Type="http://schemas.openxmlformats.org/officeDocument/2006/relationships/hyperlink" Target="https://comptecarbone.cc/wp-content/uploads/2022/06/Mecanisme-de-surquotas-pour-familles-en-difficulte.docx" TargetMode="External"/><Relationship Id="rId2" Type="http://schemas.openxmlformats.org/officeDocument/2006/relationships/hyperlink" Target="https://www.globalcarbonproject.org/global/images/carbonbudget/Infographic_Emissions2021.pdf" TargetMode="External"/><Relationship Id="rId1" Type="http://schemas.openxmlformats.org/officeDocument/2006/relationships/hyperlink" Target="https://urlz.fr/mlhD" TargetMode="External"/><Relationship Id="rId6" Type="http://schemas.openxmlformats.org/officeDocument/2006/relationships/hyperlink" Target="https://hidrive.ionos.com/lnk/pUqg4usG" TargetMode="External"/><Relationship Id="rId11" Type="http://schemas.openxmlformats.org/officeDocument/2006/relationships/hyperlink" Target="https://lejournal.info/article/carbone-deux-tonnes-de-confort/" TargetMode="External"/><Relationship Id="rId5" Type="http://schemas.openxmlformats.org/officeDocument/2006/relationships/hyperlink" Target="http://www.chair-energy-prosperity.org/category/chercheurs-associes/antonin-pottier/" TargetMode="External"/><Relationship Id="rId15" Type="http://schemas.openxmlformats.org/officeDocument/2006/relationships/hyperlink" Target="https://comptecarbone.cc/wp-content/uploads/2022/06/Steffen.pdf" TargetMode="External"/><Relationship Id="rId10" Type="http://schemas.openxmlformats.org/officeDocument/2006/relationships/hyperlink" Target="https://urlz.fr/p20b" TargetMode="External"/><Relationship Id="rId4" Type="http://schemas.openxmlformats.org/officeDocument/2006/relationships/hyperlink" Target="https://wid.world/" TargetMode="External"/><Relationship Id="rId9" Type="http://schemas.openxmlformats.org/officeDocument/2006/relationships/hyperlink" Target="https://www.economie.gouv.fr/cedef/facturation-electronique-entreprises" TargetMode="External"/><Relationship Id="rId14" Type="http://schemas.openxmlformats.org/officeDocument/2006/relationships/hyperlink" Target="http://www.altercroissance.fr/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E2EA4-1AC3-436D-A777-1CCF5E5F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10</Pages>
  <Words>4040</Words>
  <Characters>22222</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6</cp:revision>
  <cp:lastPrinted>2025-03-22T06:43:00Z</cp:lastPrinted>
  <dcterms:created xsi:type="dcterms:W3CDTF">2024-01-07T09:53:00Z</dcterms:created>
  <dcterms:modified xsi:type="dcterms:W3CDTF">2025-03-22T06:52:00Z</dcterms:modified>
</cp:coreProperties>
</file>