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768" w:rsidRPr="009D4E2D" w:rsidRDefault="009D4E2D" w:rsidP="00601768">
      <w:pPr>
        <w:rPr>
          <w:b/>
          <w:szCs w:val="20"/>
        </w:rPr>
      </w:pPr>
      <w:r w:rsidRPr="009D4E2D">
        <w:rPr>
          <w:b/>
          <w:sz w:val="20"/>
        </w:rPr>
        <w:t>Neuf règles simples pour le compte carbone</w:t>
      </w:r>
      <w:bookmarkStart w:id="0" w:name="_GoBack"/>
      <w:bookmarkEnd w:id="0"/>
    </w:p>
    <w:p w:rsidR="00601768" w:rsidRPr="00601768" w:rsidRDefault="00BC3115" w:rsidP="00601768">
      <w:pPr>
        <w:pStyle w:val="Paragraphedeliste"/>
        <w:numPr>
          <w:ilvl w:val="0"/>
          <w:numId w:val="1"/>
        </w:numPr>
        <w:rPr>
          <w:sz w:val="20"/>
          <w:szCs w:val="20"/>
        </w:rPr>
      </w:pPr>
      <w:r>
        <w:rPr>
          <w:sz w:val="20"/>
          <w:szCs w:val="20"/>
        </w:rPr>
        <w:t>Chaque français est doté de 9</w:t>
      </w:r>
      <w:r w:rsidR="00601768" w:rsidRPr="00601768">
        <w:rPr>
          <w:sz w:val="20"/>
          <w:szCs w:val="20"/>
        </w:rPr>
        <w:t xml:space="preserve"> 000 points carbone (</w:t>
      </w:r>
      <w:r w:rsidR="009D4E2D">
        <w:rPr>
          <w:sz w:val="20"/>
          <w:szCs w:val="20"/>
        </w:rPr>
        <w:t>demi-part</w:t>
      </w:r>
      <w:r w:rsidR="00601768" w:rsidRPr="00601768">
        <w:rPr>
          <w:sz w:val="20"/>
          <w:szCs w:val="20"/>
        </w:rPr>
        <w:t xml:space="preserve"> pour les moins de 18 ans) </w:t>
      </w:r>
      <w:r w:rsidR="00407E98">
        <w:rPr>
          <w:sz w:val="20"/>
          <w:szCs w:val="20"/>
        </w:rPr>
        <w:t>(1point=1kg CO2 éq)</w:t>
      </w:r>
    </w:p>
    <w:p w:rsidR="00601768" w:rsidRPr="00601768" w:rsidRDefault="00601768" w:rsidP="00601768">
      <w:pPr>
        <w:pStyle w:val="Paragraphedeliste"/>
        <w:numPr>
          <w:ilvl w:val="0"/>
          <w:numId w:val="1"/>
        </w:numPr>
        <w:rPr>
          <w:sz w:val="20"/>
          <w:szCs w:val="20"/>
        </w:rPr>
      </w:pPr>
      <w:r w:rsidRPr="00601768">
        <w:rPr>
          <w:sz w:val="20"/>
          <w:szCs w:val="20"/>
        </w:rPr>
        <w:t xml:space="preserve">Tous les commerçants étiquettent et imputent </w:t>
      </w:r>
      <w:proofErr w:type="gramStart"/>
      <w:r w:rsidRPr="00601768">
        <w:rPr>
          <w:sz w:val="20"/>
          <w:szCs w:val="20"/>
        </w:rPr>
        <w:t>les points carbone</w:t>
      </w:r>
      <w:proofErr w:type="gramEnd"/>
      <w:r w:rsidRPr="00601768">
        <w:rPr>
          <w:sz w:val="20"/>
          <w:szCs w:val="20"/>
        </w:rPr>
        <w:t xml:space="preserve"> sur</w:t>
      </w:r>
      <w:r w:rsidR="008C2EDC">
        <w:rPr>
          <w:sz w:val="20"/>
          <w:szCs w:val="20"/>
        </w:rPr>
        <w:t xml:space="preserve"> les tickets de caisse vers</w:t>
      </w:r>
      <w:r w:rsidRPr="00601768">
        <w:rPr>
          <w:sz w:val="20"/>
          <w:szCs w:val="20"/>
        </w:rPr>
        <w:t xml:space="preserve"> les cartes de paiement.</w:t>
      </w:r>
    </w:p>
    <w:p w:rsidR="00601768" w:rsidRPr="00601768" w:rsidRDefault="00601768" w:rsidP="00601768">
      <w:pPr>
        <w:pStyle w:val="Paragraphedeliste"/>
        <w:numPr>
          <w:ilvl w:val="0"/>
          <w:numId w:val="1"/>
        </w:numPr>
        <w:rPr>
          <w:sz w:val="20"/>
          <w:szCs w:val="20"/>
        </w:rPr>
      </w:pPr>
      <w:r w:rsidRPr="00601768">
        <w:rPr>
          <w:sz w:val="20"/>
          <w:szCs w:val="20"/>
        </w:rPr>
        <w:t>Toutes les entreprises et organisations ont un registre carbone où les sorties doivent égaler les entrées en fin d’exercice, c’est ce qui permet d’étiqueter les produits et services (au début, avant d’équilibrer, le commerçant se fie à la valeur définie par l’ADEME). Les organisations qui ne vendent rien et ne peuvent recevoir de points carbone de leurs clients doivent réduire leur bilan carbone de 6% chaque année.</w:t>
      </w:r>
    </w:p>
    <w:p w:rsidR="00601768" w:rsidRPr="00601768" w:rsidRDefault="00601768" w:rsidP="00601768">
      <w:pPr>
        <w:pStyle w:val="Paragraphedeliste"/>
        <w:numPr>
          <w:ilvl w:val="0"/>
          <w:numId w:val="1"/>
        </w:numPr>
        <w:rPr>
          <w:sz w:val="20"/>
          <w:szCs w:val="20"/>
        </w:rPr>
      </w:pPr>
      <w:r w:rsidRPr="00601768">
        <w:rPr>
          <w:sz w:val="20"/>
          <w:szCs w:val="20"/>
        </w:rPr>
        <w:t>Les comptes individuels sont tenus par une Agence Carbone nationale qui est gérée paritairement avec des représentants des citoyens, des commerçants, des administrations, des syndicats et des ONG climatiques. Elle bénéficie d’une informatique robuste qui garantit la confidentialité de tous échanges.</w:t>
      </w:r>
    </w:p>
    <w:p w:rsidR="00601768" w:rsidRPr="00601768" w:rsidRDefault="00601768" w:rsidP="00601768">
      <w:pPr>
        <w:pStyle w:val="Paragraphedeliste"/>
        <w:numPr>
          <w:ilvl w:val="0"/>
          <w:numId w:val="1"/>
        </w:numPr>
        <w:rPr>
          <w:sz w:val="20"/>
          <w:szCs w:val="20"/>
        </w:rPr>
      </w:pPr>
      <w:r w:rsidRPr="00601768">
        <w:rPr>
          <w:sz w:val="20"/>
          <w:szCs w:val="20"/>
        </w:rPr>
        <w:t>Pour chaque achat qui dépasse la capacité annuelle (voiture sobre, travaux d’isolation, logement bas-carbone) est institué un compte d’étalement de la dette de carbone</w:t>
      </w:r>
      <w:r w:rsidR="009D4E2D" w:rsidRPr="00601768">
        <w:rPr>
          <w:sz w:val="20"/>
          <w:szCs w:val="20"/>
        </w:rPr>
        <w:t xml:space="preserve">. </w:t>
      </w:r>
      <w:r w:rsidR="009D4E2D">
        <w:rPr>
          <w:sz w:val="20"/>
          <w:szCs w:val="20"/>
        </w:rPr>
        <w:t>L’</w:t>
      </w:r>
      <w:r w:rsidR="009D4E2D" w:rsidRPr="00601768">
        <w:rPr>
          <w:sz w:val="20"/>
          <w:szCs w:val="20"/>
        </w:rPr>
        <w:t xml:space="preserve">imputation annuelle d’étalements </w:t>
      </w:r>
      <w:r w:rsidR="009D4E2D">
        <w:rPr>
          <w:sz w:val="20"/>
          <w:szCs w:val="20"/>
        </w:rPr>
        <w:t>ne peut dépasser</w:t>
      </w:r>
      <w:r w:rsidR="009D4E2D" w:rsidRPr="00601768">
        <w:rPr>
          <w:sz w:val="20"/>
          <w:szCs w:val="20"/>
        </w:rPr>
        <w:t xml:space="preserve"> 30% du quota annuel.</w:t>
      </w:r>
    </w:p>
    <w:p w:rsidR="00601768" w:rsidRPr="00601768" w:rsidRDefault="00601768" w:rsidP="00601768">
      <w:pPr>
        <w:pStyle w:val="Paragraphedeliste"/>
        <w:numPr>
          <w:ilvl w:val="0"/>
          <w:numId w:val="1"/>
        </w:numPr>
        <w:rPr>
          <w:sz w:val="20"/>
          <w:szCs w:val="20"/>
        </w:rPr>
      </w:pPr>
      <w:r w:rsidRPr="00601768">
        <w:rPr>
          <w:sz w:val="20"/>
          <w:szCs w:val="20"/>
        </w:rPr>
        <w:t>Chaque citoyen sobre peut arrondir ses fins de mois en vendant à la Bourse Régionale carbone ses excédents qui peuvent être rachetés par les gros consommateurs selon un prix fluctuant avec l’offre.</w:t>
      </w:r>
    </w:p>
    <w:p w:rsidR="00601768" w:rsidRPr="00601768" w:rsidRDefault="00601768" w:rsidP="00601768">
      <w:pPr>
        <w:pStyle w:val="Paragraphedeliste"/>
        <w:numPr>
          <w:ilvl w:val="0"/>
          <w:numId w:val="1"/>
        </w:numPr>
        <w:rPr>
          <w:sz w:val="20"/>
          <w:szCs w:val="20"/>
        </w:rPr>
      </w:pPr>
      <w:r w:rsidRPr="00601768">
        <w:rPr>
          <w:sz w:val="20"/>
          <w:szCs w:val="20"/>
        </w:rPr>
        <w:t xml:space="preserve">À chaque </w:t>
      </w:r>
      <w:r w:rsidR="00BC3115">
        <w:rPr>
          <w:sz w:val="20"/>
          <w:szCs w:val="20"/>
        </w:rPr>
        <w:t xml:space="preserve">date anniversaire </w:t>
      </w:r>
      <w:r w:rsidRPr="00601768">
        <w:rPr>
          <w:sz w:val="20"/>
          <w:szCs w:val="20"/>
        </w:rPr>
        <w:t>le quota de chaque français est renouvelé à une valeur de 94% de l’année précédente (la réduction de 6% chaque année étant équivalente à la réduction de 80% en 30 ans nécessitée selon le consensus scientifique). Ainsi chacun est rassuré d’être dans l’action climatique pour éviter la catastrophe.</w:t>
      </w:r>
    </w:p>
    <w:p w:rsidR="00485CBC" w:rsidRDefault="00601768" w:rsidP="00485CBC">
      <w:pPr>
        <w:pStyle w:val="Paragraphedeliste"/>
        <w:numPr>
          <w:ilvl w:val="0"/>
          <w:numId w:val="1"/>
        </w:numPr>
        <w:rPr>
          <w:sz w:val="20"/>
          <w:szCs w:val="20"/>
        </w:rPr>
      </w:pPr>
      <w:r w:rsidRPr="00601768">
        <w:rPr>
          <w:sz w:val="20"/>
          <w:szCs w:val="20"/>
        </w:rPr>
        <w:t xml:space="preserve">Le registre carbone des entreprises est suivi par les experts-comptables et contrôlé par commissaires aux comptes et l’Agence Carbone. Les marchandises exportées sont couvertes en points carbone par l’Agence, elles doivent être décarbonées à raison de 6% par an. Les marchandises importées doivent être documentées en contenu carbone par les exportateurs, sinon l’Agence applique des valeurs extraites de la nomenclature douanière européenne en fonction des poids de matériaux et types d’énergie utilisée. Les contenus </w:t>
      </w:r>
      <w:proofErr w:type="gramStart"/>
      <w:r w:rsidRPr="00601768">
        <w:rPr>
          <w:sz w:val="20"/>
          <w:szCs w:val="20"/>
        </w:rPr>
        <w:t>carbone</w:t>
      </w:r>
      <w:proofErr w:type="gramEnd"/>
      <w:r w:rsidRPr="00601768">
        <w:rPr>
          <w:sz w:val="20"/>
          <w:szCs w:val="20"/>
        </w:rPr>
        <w:t xml:space="preserve"> importés sont portés en négatif dans le re</w:t>
      </w:r>
      <w:r w:rsidR="00485CBC">
        <w:rPr>
          <w:sz w:val="20"/>
          <w:szCs w:val="20"/>
        </w:rPr>
        <w:t>gistre carbone de l’importateur.</w:t>
      </w:r>
    </w:p>
    <w:p w:rsidR="00485CBC" w:rsidRDefault="00485CBC" w:rsidP="00485CBC">
      <w:pPr>
        <w:pStyle w:val="Paragraphedeliste"/>
        <w:numPr>
          <w:ilvl w:val="0"/>
          <w:numId w:val="1"/>
        </w:numPr>
        <w:rPr>
          <w:sz w:val="20"/>
          <w:szCs w:val="20"/>
        </w:rPr>
      </w:pPr>
      <w:r w:rsidRPr="00485CBC">
        <w:rPr>
          <w:sz w:val="20"/>
          <w:szCs w:val="20"/>
        </w:rPr>
        <w:t>Protection : tout besoin vital est couvert sans achat d’excédents. Un barème de surquotas est établi pour les situations critiques en matière de carbone. Le carbone des trajets domicile-travail est partagé à 50/50 entre salarié et employeur.</w:t>
      </w:r>
      <w:r w:rsidR="009D4E2D" w:rsidRPr="00485CBC">
        <w:rPr>
          <w:sz w:val="20"/>
          <w:szCs w:val="20"/>
        </w:rPr>
        <w:br/>
      </w:r>
    </w:p>
    <w:p w:rsidR="00ED4A9A" w:rsidRPr="00ED4A9A" w:rsidRDefault="00ED4A9A" w:rsidP="00ED4A9A">
      <w:pPr>
        <w:rPr>
          <w:sz w:val="20"/>
          <w:szCs w:val="20"/>
        </w:rPr>
      </w:pPr>
      <w:r>
        <w:rPr>
          <w:noProof/>
          <w:sz w:val="20"/>
          <w:szCs w:val="20"/>
          <w:lang w:eastAsia="fr-FR"/>
        </w:rPr>
        <w:drawing>
          <wp:inline distT="0" distB="0" distL="0" distR="0">
            <wp:extent cx="6813550" cy="4798415"/>
            <wp:effectExtent l="0" t="0" r="635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maCC.jpg"/>
                    <pic:cNvPicPr/>
                  </pic:nvPicPr>
                  <pic:blipFill>
                    <a:blip r:embed="rId7">
                      <a:extLst>
                        <a:ext uri="{28A0092B-C50C-407E-A947-70E740481C1C}">
                          <a14:useLocalDpi xmlns:a14="http://schemas.microsoft.com/office/drawing/2010/main" val="0"/>
                        </a:ext>
                      </a:extLst>
                    </a:blip>
                    <a:stretch>
                      <a:fillRect/>
                    </a:stretch>
                  </pic:blipFill>
                  <pic:spPr>
                    <a:xfrm>
                      <a:off x="0" y="0"/>
                      <a:ext cx="6813550" cy="4798415"/>
                    </a:xfrm>
                    <a:prstGeom prst="rect">
                      <a:avLst/>
                    </a:prstGeom>
                  </pic:spPr>
                </pic:pic>
              </a:graphicData>
            </a:graphic>
          </wp:inline>
        </w:drawing>
      </w:r>
    </w:p>
    <w:sectPr w:rsidR="00ED4A9A" w:rsidRPr="00ED4A9A" w:rsidSect="006544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828EA"/>
    <w:multiLevelType w:val="hybridMultilevel"/>
    <w:tmpl w:val="052A7B56"/>
    <w:lvl w:ilvl="0" w:tplc="F6FA8DC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50186A1B"/>
    <w:multiLevelType w:val="hybridMultilevel"/>
    <w:tmpl w:val="052A7B56"/>
    <w:lvl w:ilvl="0" w:tplc="F6FA8DC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69EF3379"/>
    <w:multiLevelType w:val="hybridMultilevel"/>
    <w:tmpl w:val="052A7B56"/>
    <w:lvl w:ilvl="0" w:tplc="F6FA8DC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68"/>
    <w:rsid w:val="0002630F"/>
    <w:rsid w:val="00051154"/>
    <w:rsid w:val="00407E98"/>
    <w:rsid w:val="00485CBC"/>
    <w:rsid w:val="00601768"/>
    <w:rsid w:val="00654412"/>
    <w:rsid w:val="007704CA"/>
    <w:rsid w:val="007D4C43"/>
    <w:rsid w:val="008C2EDC"/>
    <w:rsid w:val="008E7C98"/>
    <w:rsid w:val="00900691"/>
    <w:rsid w:val="00926AB6"/>
    <w:rsid w:val="009D4E2D"/>
    <w:rsid w:val="00BC3115"/>
    <w:rsid w:val="00CC5649"/>
    <w:rsid w:val="00D07319"/>
    <w:rsid w:val="00ED4A9A"/>
    <w:rsid w:val="00F67F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1768"/>
    <w:pPr>
      <w:ind w:left="720"/>
      <w:contextualSpacing/>
    </w:pPr>
  </w:style>
  <w:style w:type="paragraph" w:styleId="Textedebulles">
    <w:name w:val="Balloon Text"/>
    <w:basedOn w:val="Normal"/>
    <w:link w:val="TextedebullesCar"/>
    <w:uiPriority w:val="99"/>
    <w:semiHidden/>
    <w:unhideWhenUsed/>
    <w:rsid w:val="00ED4A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D4A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1768"/>
    <w:pPr>
      <w:ind w:left="720"/>
      <w:contextualSpacing/>
    </w:pPr>
  </w:style>
  <w:style w:type="paragraph" w:styleId="Textedebulles">
    <w:name w:val="Balloon Text"/>
    <w:basedOn w:val="Normal"/>
    <w:link w:val="TextedebullesCar"/>
    <w:uiPriority w:val="99"/>
    <w:semiHidden/>
    <w:unhideWhenUsed/>
    <w:rsid w:val="00ED4A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D4A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3EED6-22BD-439B-9430-63F2FD42B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399</Words>
  <Characters>2200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Armel</dc:creator>
  <cp:lastModifiedBy>Armel</cp:lastModifiedBy>
  <cp:revision>4</cp:revision>
  <dcterms:created xsi:type="dcterms:W3CDTF">2022-10-15T05:01:00Z</dcterms:created>
  <dcterms:modified xsi:type="dcterms:W3CDTF">2022-11-15T21:47:00Z</dcterms:modified>
</cp:coreProperties>
</file>